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F3913" w14:textId="312A352E" w:rsidR="00EE0A7E" w:rsidRPr="00EC604A" w:rsidRDefault="00EC604A" w:rsidP="00EC604A">
      <w:pPr>
        <w:jc w:val="center"/>
        <w:rPr>
          <w:rFonts w:ascii="Times New Roman" w:hAnsi="Times New Roman" w:cs="Times New Roman"/>
          <w:b/>
          <w:sz w:val="28"/>
        </w:rPr>
      </w:pPr>
      <w:bookmarkStart w:id="0" w:name="_GoBack"/>
      <w:bookmarkEnd w:id="0"/>
      <w:permStart w:id="194141597" w:edGrp="everyone"/>
      <w:permEnd w:id="194141597"/>
      <w:r w:rsidRPr="00EC604A">
        <w:rPr>
          <w:rFonts w:ascii="Times New Roman" w:hAnsi="Times New Roman" w:cs="Times New Roman"/>
          <w:b/>
          <w:sz w:val="28"/>
        </w:rPr>
        <w:t>Bridging for Innovators Overview and Application guidance</w:t>
      </w:r>
    </w:p>
    <w:tbl>
      <w:tblPr>
        <w:tblStyle w:val="TableGrid"/>
        <w:tblW w:w="0" w:type="auto"/>
        <w:tblLook w:val="04A0" w:firstRow="1" w:lastRow="0" w:firstColumn="1" w:lastColumn="0" w:noHBand="0" w:noVBand="1"/>
      </w:tblPr>
      <w:tblGrid>
        <w:gridCol w:w="1696"/>
        <w:gridCol w:w="7320"/>
      </w:tblGrid>
      <w:tr w:rsidR="00EE0A7E" w:rsidRPr="00EC604A" w14:paraId="2A1C8A06" w14:textId="77777777" w:rsidTr="009A0780">
        <w:trPr>
          <w:trHeight w:val="2967"/>
        </w:trPr>
        <w:tc>
          <w:tcPr>
            <w:tcW w:w="1696" w:type="dxa"/>
          </w:tcPr>
          <w:p w14:paraId="28BD4A4C" w14:textId="77777777" w:rsidR="00EE0A7E" w:rsidRPr="00EC604A" w:rsidRDefault="00EE0A7E">
            <w:pPr>
              <w:rPr>
                <w:rFonts w:ascii="Times New Roman" w:hAnsi="Times New Roman" w:cs="Times New Roman"/>
                <w:sz w:val="24"/>
                <w:szCs w:val="24"/>
              </w:rPr>
            </w:pPr>
          </w:p>
          <w:p w14:paraId="00D80886" w14:textId="77777777" w:rsidR="00EE0A7E" w:rsidRPr="00EC604A" w:rsidRDefault="00EE0A7E">
            <w:pPr>
              <w:rPr>
                <w:rFonts w:ascii="Times New Roman" w:hAnsi="Times New Roman" w:cs="Times New Roman"/>
                <w:sz w:val="24"/>
                <w:szCs w:val="24"/>
              </w:rPr>
            </w:pPr>
            <w:r w:rsidRPr="00EC604A">
              <w:rPr>
                <w:rFonts w:ascii="Times New Roman" w:hAnsi="Times New Roman" w:cs="Times New Roman"/>
                <w:sz w:val="24"/>
                <w:szCs w:val="24"/>
              </w:rPr>
              <w:t>Description</w:t>
            </w:r>
          </w:p>
        </w:tc>
        <w:tc>
          <w:tcPr>
            <w:tcW w:w="7320" w:type="dxa"/>
          </w:tcPr>
          <w:p w14:paraId="7ACBB805" w14:textId="77777777" w:rsidR="00EE0A7E" w:rsidRPr="00EC604A" w:rsidRDefault="00EE0A7E">
            <w:pPr>
              <w:rPr>
                <w:rFonts w:ascii="Times New Roman" w:hAnsi="Times New Roman" w:cs="Times New Roman"/>
                <w:sz w:val="24"/>
                <w:szCs w:val="24"/>
              </w:rPr>
            </w:pPr>
          </w:p>
          <w:p w14:paraId="745F929F" w14:textId="77777777" w:rsidR="00EE0A7E" w:rsidRPr="00EC604A" w:rsidRDefault="00EE0A7E">
            <w:pPr>
              <w:rPr>
                <w:rFonts w:ascii="Times New Roman" w:hAnsi="Times New Roman" w:cs="Times New Roman"/>
                <w:sz w:val="24"/>
                <w:szCs w:val="24"/>
              </w:rPr>
            </w:pPr>
            <w:r w:rsidRPr="00EC604A">
              <w:rPr>
                <w:rFonts w:ascii="Times New Roman" w:hAnsi="Times New Roman" w:cs="Times New Roman"/>
                <w:sz w:val="24"/>
                <w:szCs w:val="24"/>
              </w:rPr>
              <w:t xml:space="preserve">Bridging for Innovators (B4I) is an Industrial Strategy Challenge Fund (ISCF) programme run by the Science &amp; Technology Facilities Council (STFC) to support UK industry. Funding is available to specifically help companies overcome difficult product, manufacturing or process performance issues by leveraging more than £2billion worth of Government investment in large-scale scientific infrastructure. The B4I programme aligns with the government’s Industrial Strategy to boost productivity and earning power throughout the UK.  </w:t>
            </w:r>
          </w:p>
          <w:p w14:paraId="1188DE6B" w14:textId="77777777" w:rsidR="00EE0A7E" w:rsidRPr="00EC604A" w:rsidRDefault="00EE0A7E">
            <w:pPr>
              <w:rPr>
                <w:rFonts w:ascii="Times New Roman" w:hAnsi="Times New Roman" w:cs="Times New Roman"/>
                <w:sz w:val="24"/>
                <w:szCs w:val="24"/>
              </w:rPr>
            </w:pPr>
            <w:r w:rsidRPr="00EC604A">
              <w:rPr>
                <w:rFonts w:ascii="Times New Roman" w:hAnsi="Times New Roman" w:cs="Times New Roman"/>
                <w:sz w:val="24"/>
                <w:szCs w:val="24"/>
              </w:rPr>
              <w:t>The programme provides access to advanced analytical technologies, supporting expertise and capabilities to companies through STFC’s large scale science facilities located around the UK including Harwell, Daresbury and the Royal Observatory in Edinburgh.</w:t>
            </w:r>
          </w:p>
          <w:p w14:paraId="4AC95DB3" w14:textId="77777777" w:rsidR="00EE0A7E" w:rsidRPr="00EC604A" w:rsidRDefault="00EE0A7E">
            <w:pPr>
              <w:rPr>
                <w:rFonts w:ascii="Times New Roman" w:hAnsi="Times New Roman" w:cs="Times New Roman"/>
                <w:sz w:val="24"/>
                <w:szCs w:val="24"/>
              </w:rPr>
            </w:pPr>
          </w:p>
        </w:tc>
      </w:tr>
      <w:tr w:rsidR="00EE0A7E" w:rsidRPr="00EC604A" w14:paraId="731E0EEE" w14:textId="77777777" w:rsidTr="009A0780">
        <w:tc>
          <w:tcPr>
            <w:tcW w:w="1696" w:type="dxa"/>
          </w:tcPr>
          <w:p w14:paraId="23E7D489" w14:textId="77777777" w:rsidR="00EE0A7E" w:rsidRPr="00EC604A" w:rsidRDefault="00EE0A7E">
            <w:pPr>
              <w:rPr>
                <w:rFonts w:ascii="Times New Roman" w:hAnsi="Times New Roman" w:cs="Times New Roman"/>
                <w:sz w:val="24"/>
                <w:szCs w:val="24"/>
              </w:rPr>
            </w:pPr>
          </w:p>
          <w:p w14:paraId="0FD142C5" w14:textId="77777777" w:rsidR="00EE0A7E" w:rsidRPr="00EC604A" w:rsidRDefault="00EE0A7E">
            <w:pPr>
              <w:rPr>
                <w:rFonts w:ascii="Times New Roman" w:hAnsi="Times New Roman" w:cs="Times New Roman"/>
                <w:sz w:val="24"/>
                <w:szCs w:val="24"/>
              </w:rPr>
            </w:pPr>
            <w:r w:rsidRPr="00EC604A">
              <w:rPr>
                <w:rFonts w:ascii="Times New Roman" w:hAnsi="Times New Roman" w:cs="Times New Roman"/>
                <w:sz w:val="24"/>
                <w:szCs w:val="24"/>
              </w:rPr>
              <w:t>Funding type</w:t>
            </w:r>
          </w:p>
        </w:tc>
        <w:tc>
          <w:tcPr>
            <w:tcW w:w="7320" w:type="dxa"/>
          </w:tcPr>
          <w:p w14:paraId="69FB3F7A" w14:textId="77777777" w:rsidR="00EE0A7E" w:rsidRPr="00EC604A" w:rsidRDefault="00EE0A7E" w:rsidP="00EE0A7E">
            <w:pPr>
              <w:rPr>
                <w:rFonts w:ascii="Times New Roman" w:hAnsi="Times New Roman" w:cs="Times New Roman"/>
                <w:sz w:val="24"/>
                <w:szCs w:val="24"/>
              </w:rPr>
            </w:pPr>
          </w:p>
          <w:p w14:paraId="49BD0431" w14:textId="63FE654B" w:rsidR="00EC604A" w:rsidRDefault="00EE0A7E" w:rsidP="00EC604A">
            <w:pPr>
              <w:spacing w:after="120"/>
              <w:rPr>
                <w:rFonts w:ascii="Times New Roman" w:hAnsi="Times New Roman" w:cs="Times New Roman"/>
                <w:sz w:val="24"/>
                <w:szCs w:val="24"/>
              </w:rPr>
            </w:pPr>
            <w:r w:rsidRPr="00EC604A">
              <w:rPr>
                <w:rFonts w:ascii="Times New Roman" w:hAnsi="Times New Roman" w:cs="Times New Roman"/>
                <w:sz w:val="24"/>
                <w:szCs w:val="24"/>
              </w:rPr>
              <w:t>B4I will fund all of STFC’s contribution to the total project cost and companies are expected to provide a contribution that is de</w:t>
            </w:r>
            <w:r w:rsidR="00EC604A">
              <w:rPr>
                <w:rFonts w:ascii="Times New Roman" w:hAnsi="Times New Roman" w:cs="Times New Roman"/>
                <w:sz w:val="24"/>
                <w:szCs w:val="24"/>
              </w:rPr>
              <w:t>pendent on company size</w:t>
            </w:r>
            <w:r w:rsidRPr="00EC604A">
              <w:rPr>
                <w:rFonts w:ascii="Times New Roman" w:hAnsi="Times New Roman" w:cs="Times New Roman"/>
                <w:sz w:val="24"/>
                <w:szCs w:val="24"/>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3"/>
              <w:gridCol w:w="3619"/>
              <w:gridCol w:w="1912"/>
            </w:tblGrid>
            <w:tr w:rsidR="00EC604A" w:rsidRPr="001417B6" w14:paraId="7CBA9E0D" w14:textId="77777777" w:rsidTr="00EC604A">
              <w:trPr>
                <w:jc w:val="center"/>
              </w:trPr>
              <w:tc>
                <w:tcPr>
                  <w:tcW w:w="1463" w:type="dxa"/>
                  <w:vAlign w:val="center"/>
                </w:tcPr>
                <w:p w14:paraId="15BFC9F3" w14:textId="77777777" w:rsidR="00EC604A" w:rsidRPr="00EC604A" w:rsidRDefault="00EC604A" w:rsidP="00EC604A">
                  <w:pPr>
                    <w:jc w:val="center"/>
                    <w:rPr>
                      <w:rFonts w:ascii="Times New Roman" w:eastAsia="Times New Roman" w:hAnsi="Times New Roman" w:cs="Times New Roman"/>
                      <w:b/>
                      <w:bCs/>
                      <w:color w:val="333333"/>
                      <w:sz w:val="20"/>
                      <w:lang w:val="en" w:eastAsia="en-GB"/>
                    </w:rPr>
                  </w:pPr>
                  <w:r w:rsidRPr="00EC604A">
                    <w:rPr>
                      <w:rFonts w:ascii="Times New Roman" w:eastAsia="Times New Roman" w:hAnsi="Times New Roman" w:cs="Times New Roman"/>
                      <w:b/>
                      <w:bCs/>
                      <w:color w:val="333333"/>
                      <w:sz w:val="20"/>
                      <w:lang w:val="en" w:eastAsia="en-GB"/>
                    </w:rPr>
                    <w:t>Company Size</w:t>
                  </w:r>
                </w:p>
              </w:tc>
              <w:tc>
                <w:tcPr>
                  <w:tcW w:w="3619" w:type="dxa"/>
                  <w:vAlign w:val="center"/>
                </w:tcPr>
                <w:p w14:paraId="79B31B8F" w14:textId="77777777" w:rsidR="00EC604A" w:rsidRPr="00EC604A" w:rsidRDefault="00EC604A" w:rsidP="00EC604A">
                  <w:pPr>
                    <w:jc w:val="center"/>
                    <w:rPr>
                      <w:rFonts w:ascii="Times New Roman" w:eastAsia="Times New Roman" w:hAnsi="Times New Roman" w:cs="Times New Roman"/>
                      <w:b/>
                      <w:bCs/>
                      <w:color w:val="333333"/>
                      <w:sz w:val="20"/>
                      <w:lang w:val="en" w:eastAsia="en-GB"/>
                    </w:rPr>
                  </w:pPr>
                  <w:r w:rsidRPr="00EC604A">
                    <w:rPr>
                      <w:rFonts w:ascii="Times New Roman" w:eastAsia="Times New Roman" w:hAnsi="Times New Roman" w:cs="Times New Roman"/>
                      <w:b/>
                      <w:bCs/>
                      <w:color w:val="333333"/>
                      <w:sz w:val="20"/>
                      <w:lang w:val="en" w:eastAsia="en-GB"/>
                    </w:rPr>
                    <w:t>Company Size Criteria</w:t>
                  </w:r>
                </w:p>
              </w:tc>
              <w:tc>
                <w:tcPr>
                  <w:tcW w:w="1912" w:type="dxa"/>
                  <w:vAlign w:val="center"/>
                </w:tcPr>
                <w:p w14:paraId="67352433" w14:textId="77777777" w:rsidR="00EC604A" w:rsidRPr="00EC604A" w:rsidRDefault="00EC604A" w:rsidP="00EC604A">
                  <w:pPr>
                    <w:jc w:val="center"/>
                    <w:rPr>
                      <w:rFonts w:ascii="Times New Roman" w:eastAsia="Times New Roman" w:hAnsi="Times New Roman" w:cs="Times New Roman"/>
                      <w:b/>
                      <w:bCs/>
                      <w:color w:val="333333"/>
                      <w:sz w:val="20"/>
                      <w:lang w:val="en" w:eastAsia="en-GB"/>
                    </w:rPr>
                  </w:pPr>
                  <w:r w:rsidRPr="00EC604A">
                    <w:rPr>
                      <w:rFonts w:ascii="Times New Roman" w:eastAsia="Times New Roman" w:hAnsi="Times New Roman" w:cs="Times New Roman"/>
                      <w:b/>
                      <w:bCs/>
                      <w:color w:val="333333"/>
                      <w:sz w:val="20"/>
                      <w:lang w:val="en" w:eastAsia="en-GB"/>
                    </w:rPr>
                    <w:t>B4I contribution of STFC Costs</w:t>
                  </w:r>
                </w:p>
              </w:tc>
            </w:tr>
            <w:tr w:rsidR="00EC604A" w:rsidRPr="001417B6" w14:paraId="71B47A41" w14:textId="77777777" w:rsidTr="00EC604A">
              <w:trPr>
                <w:jc w:val="center"/>
              </w:trPr>
              <w:tc>
                <w:tcPr>
                  <w:tcW w:w="1463" w:type="dxa"/>
                  <w:vAlign w:val="center"/>
                </w:tcPr>
                <w:p w14:paraId="1E4E5DA6" w14:textId="77777777" w:rsidR="00EC604A" w:rsidRPr="00EC604A" w:rsidRDefault="00EC604A" w:rsidP="00EC604A">
                  <w:pPr>
                    <w:jc w:val="center"/>
                    <w:rPr>
                      <w:rFonts w:ascii="Times New Roman" w:eastAsia="Times New Roman" w:hAnsi="Times New Roman" w:cs="Times New Roman"/>
                      <w:color w:val="333333"/>
                      <w:sz w:val="20"/>
                      <w:lang w:val="en" w:eastAsia="en-GB"/>
                    </w:rPr>
                  </w:pPr>
                  <w:r w:rsidRPr="00EC604A">
                    <w:rPr>
                      <w:rFonts w:ascii="Times New Roman" w:eastAsia="Times New Roman" w:hAnsi="Times New Roman" w:cs="Times New Roman"/>
                      <w:color w:val="333333"/>
                      <w:sz w:val="20"/>
                      <w:lang w:val="en" w:eastAsia="en-GB"/>
                    </w:rPr>
                    <w:t>Micro</w:t>
                  </w:r>
                </w:p>
              </w:tc>
              <w:tc>
                <w:tcPr>
                  <w:tcW w:w="3619" w:type="dxa"/>
                  <w:vAlign w:val="center"/>
                </w:tcPr>
                <w:p w14:paraId="3F6B65C6" w14:textId="77777777" w:rsidR="00EC604A" w:rsidRPr="00EC604A" w:rsidRDefault="00EC604A" w:rsidP="00EC604A">
                  <w:pPr>
                    <w:jc w:val="center"/>
                    <w:rPr>
                      <w:rFonts w:ascii="Times New Roman" w:eastAsia="Times New Roman" w:hAnsi="Times New Roman" w:cs="Times New Roman"/>
                      <w:color w:val="333333"/>
                      <w:sz w:val="20"/>
                      <w:lang w:val="en" w:eastAsia="en-GB"/>
                    </w:rPr>
                  </w:pPr>
                  <w:r w:rsidRPr="00EC604A">
                    <w:rPr>
                      <w:rFonts w:ascii="Times New Roman" w:eastAsia="Times New Roman" w:hAnsi="Times New Roman" w:cs="Times New Roman"/>
                      <w:color w:val="333333"/>
                      <w:sz w:val="20"/>
                      <w:lang w:val="en" w:eastAsia="en-GB"/>
                    </w:rPr>
                    <w:t>Staff headcount &lt;10</w:t>
                  </w:r>
                </w:p>
                <w:p w14:paraId="162C26D0" w14:textId="77777777" w:rsidR="00EC604A" w:rsidRPr="00EC604A" w:rsidRDefault="00EC604A" w:rsidP="00EC604A">
                  <w:pPr>
                    <w:jc w:val="center"/>
                    <w:rPr>
                      <w:rFonts w:ascii="Times New Roman" w:eastAsia="Times New Roman" w:hAnsi="Times New Roman" w:cs="Times New Roman"/>
                      <w:color w:val="000000" w:themeColor="text1"/>
                      <w:sz w:val="20"/>
                      <w:lang w:eastAsia="en-GB"/>
                    </w:rPr>
                  </w:pPr>
                  <w:r w:rsidRPr="00EC604A">
                    <w:rPr>
                      <w:rFonts w:ascii="Times New Roman" w:eastAsia="Times New Roman" w:hAnsi="Times New Roman" w:cs="Times New Roman"/>
                      <w:color w:val="333333"/>
                      <w:sz w:val="20"/>
                      <w:lang w:val="en" w:eastAsia="en-GB"/>
                    </w:rPr>
                    <w:t xml:space="preserve">Turnover </w:t>
                  </w:r>
                  <w:r w:rsidRPr="00EC604A">
                    <w:rPr>
                      <w:rFonts w:ascii="Times New Roman" w:eastAsia="Times New Roman" w:hAnsi="Times New Roman" w:cs="Times New Roman"/>
                      <w:color w:val="000000" w:themeColor="text1"/>
                      <w:sz w:val="20"/>
                      <w:lang w:eastAsia="en-GB"/>
                    </w:rPr>
                    <w:t xml:space="preserve">≤ €2m </w:t>
                  </w:r>
                  <w:r w:rsidRPr="00EC604A">
                    <w:rPr>
                      <w:rFonts w:ascii="Times New Roman" w:eastAsia="Times New Roman" w:hAnsi="Times New Roman" w:cs="Times New Roman"/>
                      <w:b/>
                      <w:bCs/>
                      <w:color w:val="000000" w:themeColor="text1"/>
                      <w:sz w:val="20"/>
                      <w:u w:val="single"/>
                      <w:lang w:eastAsia="en-GB"/>
                    </w:rPr>
                    <w:t>OR</w:t>
                  </w:r>
                </w:p>
                <w:p w14:paraId="36D9B0C9" w14:textId="77777777" w:rsidR="00EC604A" w:rsidRPr="00EC604A" w:rsidRDefault="00EC604A" w:rsidP="00EC604A">
                  <w:pPr>
                    <w:spacing w:after="120"/>
                    <w:jc w:val="center"/>
                    <w:rPr>
                      <w:rFonts w:ascii="Times New Roman" w:eastAsia="Times New Roman" w:hAnsi="Times New Roman" w:cs="Times New Roman"/>
                      <w:color w:val="333333"/>
                      <w:sz w:val="20"/>
                      <w:lang w:val="en" w:eastAsia="en-GB"/>
                    </w:rPr>
                  </w:pPr>
                  <w:r w:rsidRPr="00EC604A">
                    <w:rPr>
                      <w:rFonts w:ascii="Times New Roman" w:eastAsia="Times New Roman" w:hAnsi="Times New Roman" w:cs="Times New Roman"/>
                      <w:color w:val="000000" w:themeColor="text1"/>
                      <w:sz w:val="20"/>
                      <w:lang w:eastAsia="en-GB"/>
                    </w:rPr>
                    <w:t>Balance sheet total of ≤ €2m</w:t>
                  </w:r>
                </w:p>
              </w:tc>
              <w:tc>
                <w:tcPr>
                  <w:tcW w:w="1912" w:type="dxa"/>
                  <w:vAlign w:val="center"/>
                </w:tcPr>
                <w:p w14:paraId="585FE3D6" w14:textId="77777777" w:rsidR="00EC604A" w:rsidRPr="00EC604A" w:rsidRDefault="00EC604A" w:rsidP="00EC604A">
                  <w:pPr>
                    <w:jc w:val="center"/>
                    <w:rPr>
                      <w:rFonts w:ascii="Times New Roman" w:eastAsia="Times New Roman" w:hAnsi="Times New Roman" w:cs="Times New Roman"/>
                      <w:color w:val="333333"/>
                      <w:sz w:val="20"/>
                      <w:lang w:val="en" w:eastAsia="en-GB"/>
                    </w:rPr>
                  </w:pPr>
                  <w:r w:rsidRPr="00EC604A">
                    <w:rPr>
                      <w:rFonts w:ascii="Times New Roman" w:eastAsia="Times New Roman" w:hAnsi="Times New Roman" w:cs="Times New Roman"/>
                      <w:color w:val="333333"/>
                      <w:sz w:val="20"/>
                      <w:lang w:val="en" w:eastAsia="en-GB"/>
                    </w:rPr>
                    <w:t>70%</w:t>
                  </w:r>
                </w:p>
              </w:tc>
            </w:tr>
            <w:tr w:rsidR="00EC604A" w:rsidRPr="001417B6" w14:paraId="44D19858" w14:textId="77777777" w:rsidTr="00EC604A">
              <w:trPr>
                <w:jc w:val="center"/>
              </w:trPr>
              <w:tc>
                <w:tcPr>
                  <w:tcW w:w="1463" w:type="dxa"/>
                  <w:vAlign w:val="center"/>
                </w:tcPr>
                <w:p w14:paraId="33C316EF" w14:textId="77777777" w:rsidR="00EC604A" w:rsidRPr="00EC604A" w:rsidRDefault="00EC604A" w:rsidP="00EC604A">
                  <w:pPr>
                    <w:jc w:val="center"/>
                    <w:rPr>
                      <w:rFonts w:ascii="Times New Roman" w:eastAsia="Times New Roman" w:hAnsi="Times New Roman" w:cs="Times New Roman"/>
                      <w:color w:val="333333"/>
                      <w:sz w:val="20"/>
                      <w:lang w:val="en" w:eastAsia="en-GB"/>
                    </w:rPr>
                  </w:pPr>
                  <w:r w:rsidRPr="00EC604A">
                    <w:rPr>
                      <w:rFonts w:ascii="Times New Roman" w:eastAsia="Times New Roman" w:hAnsi="Times New Roman" w:cs="Times New Roman"/>
                      <w:color w:val="333333"/>
                      <w:sz w:val="20"/>
                      <w:lang w:val="en" w:eastAsia="en-GB"/>
                    </w:rPr>
                    <w:t>Small</w:t>
                  </w:r>
                </w:p>
              </w:tc>
              <w:tc>
                <w:tcPr>
                  <w:tcW w:w="3619" w:type="dxa"/>
                  <w:vAlign w:val="center"/>
                </w:tcPr>
                <w:p w14:paraId="5E53AA76" w14:textId="77777777" w:rsidR="00EC604A" w:rsidRPr="00EC604A" w:rsidRDefault="00EC604A" w:rsidP="00EC604A">
                  <w:pPr>
                    <w:jc w:val="center"/>
                    <w:rPr>
                      <w:rFonts w:ascii="Times New Roman" w:eastAsia="Times New Roman" w:hAnsi="Times New Roman" w:cs="Times New Roman"/>
                      <w:color w:val="333333"/>
                      <w:sz w:val="20"/>
                      <w:lang w:val="en" w:eastAsia="en-GB"/>
                    </w:rPr>
                  </w:pPr>
                  <w:r w:rsidRPr="00EC604A">
                    <w:rPr>
                      <w:rFonts w:ascii="Times New Roman" w:eastAsia="Times New Roman" w:hAnsi="Times New Roman" w:cs="Times New Roman"/>
                      <w:color w:val="333333"/>
                      <w:sz w:val="20"/>
                      <w:lang w:val="en" w:eastAsia="en-GB"/>
                    </w:rPr>
                    <w:t>Staff headcount &lt;50</w:t>
                  </w:r>
                </w:p>
                <w:p w14:paraId="4ABF5053" w14:textId="77777777" w:rsidR="00EC604A" w:rsidRPr="00EC604A" w:rsidRDefault="00EC604A" w:rsidP="00EC604A">
                  <w:pPr>
                    <w:jc w:val="center"/>
                    <w:rPr>
                      <w:rFonts w:ascii="Times New Roman" w:eastAsia="Times New Roman" w:hAnsi="Times New Roman" w:cs="Times New Roman"/>
                      <w:color w:val="000000" w:themeColor="text1"/>
                      <w:sz w:val="20"/>
                      <w:lang w:eastAsia="en-GB"/>
                    </w:rPr>
                  </w:pPr>
                  <w:r w:rsidRPr="00EC604A">
                    <w:rPr>
                      <w:rFonts w:ascii="Times New Roman" w:eastAsia="Times New Roman" w:hAnsi="Times New Roman" w:cs="Times New Roman"/>
                      <w:color w:val="333333"/>
                      <w:sz w:val="20"/>
                      <w:lang w:val="en" w:eastAsia="en-GB"/>
                    </w:rPr>
                    <w:t xml:space="preserve">Turnover </w:t>
                  </w:r>
                  <w:r w:rsidRPr="00EC604A">
                    <w:rPr>
                      <w:rFonts w:ascii="Times New Roman" w:eastAsia="Times New Roman" w:hAnsi="Times New Roman" w:cs="Times New Roman"/>
                      <w:color w:val="000000" w:themeColor="text1"/>
                      <w:sz w:val="20"/>
                      <w:lang w:eastAsia="en-GB"/>
                    </w:rPr>
                    <w:t xml:space="preserve">≤ €10m </w:t>
                  </w:r>
                  <w:r w:rsidRPr="00EC604A">
                    <w:rPr>
                      <w:rFonts w:ascii="Times New Roman" w:eastAsia="Times New Roman" w:hAnsi="Times New Roman" w:cs="Times New Roman"/>
                      <w:b/>
                      <w:bCs/>
                      <w:color w:val="000000" w:themeColor="text1"/>
                      <w:sz w:val="20"/>
                      <w:u w:val="single"/>
                      <w:lang w:eastAsia="en-GB"/>
                    </w:rPr>
                    <w:t>OR</w:t>
                  </w:r>
                </w:p>
                <w:p w14:paraId="287969BA" w14:textId="77777777" w:rsidR="00EC604A" w:rsidRPr="00EC604A" w:rsidRDefault="00EC604A" w:rsidP="00EC604A">
                  <w:pPr>
                    <w:spacing w:after="120"/>
                    <w:jc w:val="center"/>
                    <w:rPr>
                      <w:rFonts w:ascii="Times New Roman" w:eastAsia="Times New Roman" w:hAnsi="Times New Roman" w:cs="Times New Roman"/>
                      <w:color w:val="333333"/>
                      <w:sz w:val="20"/>
                      <w:lang w:val="en" w:eastAsia="en-GB"/>
                    </w:rPr>
                  </w:pPr>
                  <w:r w:rsidRPr="00EC604A">
                    <w:rPr>
                      <w:rFonts w:ascii="Times New Roman" w:eastAsia="Times New Roman" w:hAnsi="Times New Roman" w:cs="Times New Roman"/>
                      <w:color w:val="000000" w:themeColor="text1"/>
                      <w:sz w:val="20"/>
                      <w:lang w:eastAsia="en-GB"/>
                    </w:rPr>
                    <w:t>Balance sheet total of ≤ €10m</w:t>
                  </w:r>
                </w:p>
              </w:tc>
              <w:tc>
                <w:tcPr>
                  <w:tcW w:w="1912" w:type="dxa"/>
                  <w:vAlign w:val="center"/>
                </w:tcPr>
                <w:p w14:paraId="54D9DBC9" w14:textId="77777777" w:rsidR="00EC604A" w:rsidRPr="00EC604A" w:rsidRDefault="00EC604A" w:rsidP="00EC604A">
                  <w:pPr>
                    <w:jc w:val="center"/>
                    <w:rPr>
                      <w:rFonts w:ascii="Times New Roman" w:eastAsia="Times New Roman" w:hAnsi="Times New Roman" w:cs="Times New Roman"/>
                      <w:color w:val="333333"/>
                      <w:sz w:val="20"/>
                      <w:lang w:val="en" w:eastAsia="en-GB"/>
                    </w:rPr>
                  </w:pPr>
                  <w:r w:rsidRPr="00EC604A">
                    <w:rPr>
                      <w:rFonts w:ascii="Times New Roman" w:eastAsia="Times New Roman" w:hAnsi="Times New Roman" w:cs="Times New Roman"/>
                      <w:color w:val="333333"/>
                      <w:sz w:val="20"/>
                      <w:lang w:val="en" w:eastAsia="en-GB"/>
                    </w:rPr>
                    <w:t>70%</w:t>
                  </w:r>
                </w:p>
              </w:tc>
            </w:tr>
            <w:tr w:rsidR="00EC604A" w:rsidRPr="001417B6" w14:paraId="4DCD3D19" w14:textId="77777777" w:rsidTr="00EC604A">
              <w:trPr>
                <w:jc w:val="center"/>
              </w:trPr>
              <w:tc>
                <w:tcPr>
                  <w:tcW w:w="1463" w:type="dxa"/>
                  <w:vAlign w:val="center"/>
                </w:tcPr>
                <w:p w14:paraId="37CE3825" w14:textId="77777777" w:rsidR="00EC604A" w:rsidRPr="00EC604A" w:rsidRDefault="00EC604A" w:rsidP="00EC604A">
                  <w:pPr>
                    <w:jc w:val="center"/>
                    <w:rPr>
                      <w:rFonts w:ascii="Times New Roman" w:eastAsia="Times New Roman" w:hAnsi="Times New Roman" w:cs="Times New Roman"/>
                      <w:color w:val="333333"/>
                      <w:sz w:val="20"/>
                      <w:lang w:val="en" w:eastAsia="en-GB"/>
                    </w:rPr>
                  </w:pPr>
                  <w:r w:rsidRPr="00EC604A">
                    <w:rPr>
                      <w:rFonts w:ascii="Times New Roman" w:eastAsia="Times New Roman" w:hAnsi="Times New Roman" w:cs="Times New Roman"/>
                      <w:color w:val="333333"/>
                      <w:sz w:val="20"/>
                      <w:lang w:val="en" w:eastAsia="en-GB"/>
                    </w:rPr>
                    <w:t>Medium</w:t>
                  </w:r>
                </w:p>
              </w:tc>
              <w:tc>
                <w:tcPr>
                  <w:tcW w:w="3619" w:type="dxa"/>
                  <w:vAlign w:val="center"/>
                </w:tcPr>
                <w:p w14:paraId="7D4CA48D" w14:textId="77777777" w:rsidR="00EC604A" w:rsidRPr="00EC604A" w:rsidRDefault="00EC604A" w:rsidP="00EC604A">
                  <w:pPr>
                    <w:jc w:val="center"/>
                    <w:rPr>
                      <w:rFonts w:ascii="Times New Roman" w:eastAsia="Times New Roman" w:hAnsi="Times New Roman" w:cs="Times New Roman"/>
                      <w:color w:val="333333"/>
                      <w:sz w:val="20"/>
                      <w:lang w:val="en" w:eastAsia="en-GB"/>
                    </w:rPr>
                  </w:pPr>
                  <w:r w:rsidRPr="00EC604A">
                    <w:rPr>
                      <w:rFonts w:ascii="Times New Roman" w:eastAsia="Times New Roman" w:hAnsi="Times New Roman" w:cs="Times New Roman"/>
                      <w:color w:val="333333"/>
                      <w:sz w:val="20"/>
                      <w:lang w:val="en" w:eastAsia="en-GB"/>
                    </w:rPr>
                    <w:t>Staff headcount &lt;250</w:t>
                  </w:r>
                </w:p>
                <w:p w14:paraId="0051AF83" w14:textId="77777777" w:rsidR="00EC604A" w:rsidRPr="00EC604A" w:rsidRDefault="00EC604A" w:rsidP="00EC604A">
                  <w:pPr>
                    <w:jc w:val="center"/>
                    <w:rPr>
                      <w:rFonts w:ascii="Times New Roman" w:eastAsia="Times New Roman" w:hAnsi="Times New Roman" w:cs="Times New Roman"/>
                      <w:color w:val="000000" w:themeColor="text1"/>
                      <w:sz w:val="20"/>
                      <w:lang w:eastAsia="en-GB"/>
                    </w:rPr>
                  </w:pPr>
                  <w:r w:rsidRPr="00EC604A">
                    <w:rPr>
                      <w:rFonts w:ascii="Times New Roman" w:eastAsia="Times New Roman" w:hAnsi="Times New Roman" w:cs="Times New Roman"/>
                      <w:color w:val="333333"/>
                      <w:sz w:val="20"/>
                      <w:lang w:val="en" w:eastAsia="en-GB"/>
                    </w:rPr>
                    <w:t xml:space="preserve">Turnover </w:t>
                  </w:r>
                  <w:r w:rsidRPr="00EC604A">
                    <w:rPr>
                      <w:rFonts w:ascii="Times New Roman" w:eastAsia="Times New Roman" w:hAnsi="Times New Roman" w:cs="Times New Roman"/>
                      <w:color w:val="000000" w:themeColor="text1"/>
                      <w:sz w:val="20"/>
                      <w:lang w:eastAsia="en-GB"/>
                    </w:rPr>
                    <w:t xml:space="preserve">≤ €50m </w:t>
                  </w:r>
                  <w:r w:rsidRPr="00EC604A">
                    <w:rPr>
                      <w:rFonts w:ascii="Times New Roman" w:eastAsia="Times New Roman" w:hAnsi="Times New Roman" w:cs="Times New Roman"/>
                      <w:b/>
                      <w:bCs/>
                      <w:color w:val="000000" w:themeColor="text1"/>
                      <w:sz w:val="20"/>
                      <w:u w:val="single"/>
                      <w:lang w:eastAsia="en-GB"/>
                    </w:rPr>
                    <w:t>OR</w:t>
                  </w:r>
                </w:p>
                <w:p w14:paraId="58C6D27C" w14:textId="77777777" w:rsidR="00EC604A" w:rsidRPr="00EC604A" w:rsidRDefault="00EC604A" w:rsidP="00EC604A">
                  <w:pPr>
                    <w:spacing w:after="120"/>
                    <w:jc w:val="center"/>
                    <w:rPr>
                      <w:rFonts w:ascii="Times New Roman" w:eastAsia="Times New Roman" w:hAnsi="Times New Roman" w:cs="Times New Roman"/>
                      <w:color w:val="333333"/>
                      <w:sz w:val="20"/>
                      <w:lang w:val="en" w:eastAsia="en-GB"/>
                    </w:rPr>
                  </w:pPr>
                  <w:r w:rsidRPr="00EC604A">
                    <w:rPr>
                      <w:rFonts w:ascii="Times New Roman" w:eastAsia="Times New Roman" w:hAnsi="Times New Roman" w:cs="Times New Roman"/>
                      <w:color w:val="000000" w:themeColor="text1"/>
                      <w:sz w:val="20"/>
                      <w:lang w:eastAsia="en-GB"/>
                    </w:rPr>
                    <w:t>Balance sheet total of ≤ €43m</w:t>
                  </w:r>
                </w:p>
              </w:tc>
              <w:tc>
                <w:tcPr>
                  <w:tcW w:w="1912" w:type="dxa"/>
                  <w:vAlign w:val="center"/>
                </w:tcPr>
                <w:p w14:paraId="5E85CB18" w14:textId="77777777" w:rsidR="00EC604A" w:rsidRPr="00EC604A" w:rsidRDefault="00EC604A" w:rsidP="00EC604A">
                  <w:pPr>
                    <w:jc w:val="center"/>
                    <w:rPr>
                      <w:rFonts w:ascii="Times New Roman" w:eastAsia="Times New Roman" w:hAnsi="Times New Roman" w:cs="Times New Roman"/>
                      <w:color w:val="333333"/>
                      <w:sz w:val="20"/>
                      <w:lang w:val="en" w:eastAsia="en-GB"/>
                    </w:rPr>
                  </w:pPr>
                  <w:r w:rsidRPr="00EC604A">
                    <w:rPr>
                      <w:rFonts w:ascii="Times New Roman" w:eastAsia="Times New Roman" w:hAnsi="Times New Roman" w:cs="Times New Roman"/>
                      <w:color w:val="333333"/>
                      <w:sz w:val="20"/>
                      <w:lang w:val="en" w:eastAsia="en-GB"/>
                    </w:rPr>
                    <w:t>60%</w:t>
                  </w:r>
                </w:p>
              </w:tc>
            </w:tr>
            <w:tr w:rsidR="00EC604A" w:rsidRPr="001417B6" w14:paraId="3AE7A6FF" w14:textId="77777777" w:rsidTr="00EC604A">
              <w:trPr>
                <w:jc w:val="center"/>
              </w:trPr>
              <w:tc>
                <w:tcPr>
                  <w:tcW w:w="1463" w:type="dxa"/>
                  <w:vAlign w:val="center"/>
                </w:tcPr>
                <w:p w14:paraId="55ADB8B4" w14:textId="77777777" w:rsidR="00EC604A" w:rsidRPr="00EC604A" w:rsidRDefault="00EC604A" w:rsidP="00EC604A">
                  <w:pPr>
                    <w:jc w:val="center"/>
                    <w:rPr>
                      <w:rFonts w:ascii="Times New Roman" w:eastAsia="Times New Roman" w:hAnsi="Times New Roman" w:cs="Times New Roman"/>
                      <w:color w:val="333333"/>
                      <w:sz w:val="20"/>
                      <w:lang w:val="en" w:eastAsia="en-GB"/>
                    </w:rPr>
                  </w:pPr>
                  <w:r w:rsidRPr="00EC604A">
                    <w:rPr>
                      <w:rFonts w:ascii="Times New Roman" w:eastAsia="Times New Roman" w:hAnsi="Times New Roman" w:cs="Times New Roman"/>
                      <w:color w:val="333333"/>
                      <w:sz w:val="20"/>
                      <w:lang w:val="en" w:eastAsia="en-GB"/>
                    </w:rPr>
                    <w:t>Large</w:t>
                  </w:r>
                </w:p>
              </w:tc>
              <w:tc>
                <w:tcPr>
                  <w:tcW w:w="3619" w:type="dxa"/>
                  <w:vAlign w:val="center"/>
                </w:tcPr>
                <w:p w14:paraId="0493BC51" w14:textId="77777777" w:rsidR="00EC604A" w:rsidRPr="00EC604A" w:rsidRDefault="00EC604A" w:rsidP="00EC604A">
                  <w:pPr>
                    <w:jc w:val="center"/>
                    <w:rPr>
                      <w:rFonts w:ascii="Times New Roman" w:eastAsia="Times New Roman" w:hAnsi="Times New Roman" w:cs="Times New Roman"/>
                      <w:color w:val="333333"/>
                      <w:sz w:val="20"/>
                      <w:lang w:val="en" w:eastAsia="en-GB"/>
                    </w:rPr>
                  </w:pPr>
                  <w:r w:rsidRPr="00EC604A">
                    <w:rPr>
                      <w:rFonts w:ascii="Times New Roman" w:eastAsia="Times New Roman" w:hAnsi="Times New Roman" w:cs="Times New Roman"/>
                      <w:color w:val="333333"/>
                      <w:sz w:val="20"/>
                      <w:lang w:val="en" w:eastAsia="en-GB"/>
                    </w:rPr>
                    <w:t>Staff headcount &gt;250</w:t>
                  </w:r>
                </w:p>
                <w:p w14:paraId="32AC2A9F" w14:textId="77777777" w:rsidR="00EC604A" w:rsidRPr="00EC604A" w:rsidRDefault="00EC604A" w:rsidP="00EC604A">
                  <w:pPr>
                    <w:jc w:val="center"/>
                    <w:rPr>
                      <w:rFonts w:ascii="Times New Roman" w:eastAsia="Times New Roman" w:hAnsi="Times New Roman" w:cs="Times New Roman"/>
                      <w:b/>
                      <w:bCs/>
                      <w:color w:val="333333"/>
                      <w:sz w:val="20"/>
                      <w:u w:val="single"/>
                      <w:lang w:val="en" w:eastAsia="en-GB"/>
                    </w:rPr>
                  </w:pPr>
                  <w:r w:rsidRPr="00EC604A">
                    <w:rPr>
                      <w:rFonts w:ascii="Times New Roman" w:eastAsia="Times New Roman" w:hAnsi="Times New Roman" w:cs="Times New Roman"/>
                      <w:color w:val="333333"/>
                      <w:sz w:val="20"/>
                      <w:lang w:val="en" w:eastAsia="en-GB"/>
                    </w:rPr>
                    <w:t xml:space="preserve">Turnover &gt; €50m </w:t>
                  </w:r>
                  <w:r w:rsidRPr="00EC604A">
                    <w:rPr>
                      <w:rFonts w:ascii="Times New Roman" w:eastAsia="Times New Roman" w:hAnsi="Times New Roman" w:cs="Times New Roman"/>
                      <w:b/>
                      <w:bCs/>
                      <w:color w:val="333333"/>
                      <w:sz w:val="20"/>
                      <w:u w:val="single"/>
                      <w:lang w:val="en" w:eastAsia="en-GB"/>
                    </w:rPr>
                    <w:t>OR</w:t>
                  </w:r>
                </w:p>
                <w:p w14:paraId="11EBDC46" w14:textId="77777777" w:rsidR="00EC604A" w:rsidRPr="00EC604A" w:rsidRDefault="00EC604A" w:rsidP="00EC604A">
                  <w:pPr>
                    <w:jc w:val="center"/>
                    <w:rPr>
                      <w:rFonts w:ascii="Times New Roman" w:eastAsia="Times New Roman" w:hAnsi="Times New Roman" w:cs="Times New Roman"/>
                      <w:color w:val="333333"/>
                      <w:sz w:val="20"/>
                      <w:lang w:val="en" w:eastAsia="en-GB"/>
                    </w:rPr>
                  </w:pPr>
                  <w:r w:rsidRPr="00EC604A">
                    <w:rPr>
                      <w:rFonts w:ascii="Times New Roman" w:eastAsia="Times New Roman" w:hAnsi="Times New Roman" w:cs="Times New Roman"/>
                      <w:color w:val="000000" w:themeColor="text1"/>
                      <w:sz w:val="20"/>
                      <w:lang w:eastAsia="en-GB"/>
                    </w:rPr>
                    <w:t>Balance sheet total of &gt; €43m</w:t>
                  </w:r>
                </w:p>
              </w:tc>
              <w:tc>
                <w:tcPr>
                  <w:tcW w:w="1912" w:type="dxa"/>
                  <w:vAlign w:val="center"/>
                </w:tcPr>
                <w:p w14:paraId="206E19FC" w14:textId="77777777" w:rsidR="00EC604A" w:rsidRPr="00EC604A" w:rsidRDefault="00EC604A" w:rsidP="00EC604A">
                  <w:pPr>
                    <w:jc w:val="center"/>
                    <w:rPr>
                      <w:rFonts w:ascii="Times New Roman" w:eastAsia="Times New Roman" w:hAnsi="Times New Roman" w:cs="Times New Roman"/>
                      <w:color w:val="333333"/>
                      <w:sz w:val="20"/>
                      <w:lang w:val="en" w:eastAsia="en-GB"/>
                    </w:rPr>
                  </w:pPr>
                  <w:r w:rsidRPr="00EC604A">
                    <w:rPr>
                      <w:rFonts w:ascii="Times New Roman" w:eastAsia="Times New Roman" w:hAnsi="Times New Roman" w:cs="Times New Roman"/>
                      <w:color w:val="333333"/>
                      <w:sz w:val="20"/>
                      <w:lang w:val="en" w:eastAsia="en-GB"/>
                    </w:rPr>
                    <w:t>50%</w:t>
                  </w:r>
                </w:p>
              </w:tc>
            </w:tr>
          </w:tbl>
          <w:p w14:paraId="5EC6EE9E" w14:textId="77777777" w:rsidR="00EC604A" w:rsidRDefault="00EC604A" w:rsidP="00EE0A7E">
            <w:pPr>
              <w:rPr>
                <w:rFonts w:ascii="Times New Roman" w:hAnsi="Times New Roman" w:cs="Times New Roman"/>
                <w:sz w:val="24"/>
                <w:szCs w:val="24"/>
              </w:rPr>
            </w:pPr>
          </w:p>
          <w:p w14:paraId="66BF2933" w14:textId="7356AA0F" w:rsidR="00EE0A7E" w:rsidRPr="00EC604A" w:rsidRDefault="00EE0A7E" w:rsidP="00EE0A7E">
            <w:pPr>
              <w:rPr>
                <w:rFonts w:ascii="Times New Roman" w:hAnsi="Times New Roman" w:cs="Times New Roman"/>
                <w:sz w:val="24"/>
                <w:szCs w:val="24"/>
              </w:rPr>
            </w:pPr>
            <w:r w:rsidRPr="00EC604A">
              <w:rPr>
                <w:rFonts w:ascii="Times New Roman" w:hAnsi="Times New Roman" w:cs="Times New Roman"/>
                <w:sz w:val="24"/>
                <w:szCs w:val="24"/>
              </w:rPr>
              <w:t xml:space="preserve">This may be an in-kind or direct contribution to the project cost. </w:t>
            </w:r>
          </w:p>
          <w:p w14:paraId="4E9C695C" w14:textId="77777777" w:rsidR="00EE0A7E" w:rsidRPr="00EC604A" w:rsidRDefault="00EE0A7E" w:rsidP="00EE0A7E">
            <w:pPr>
              <w:rPr>
                <w:rFonts w:ascii="Times New Roman" w:hAnsi="Times New Roman" w:cs="Times New Roman"/>
                <w:sz w:val="24"/>
                <w:szCs w:val="24"/>
              </w:rPr>
            </w:pPr>
            <w:r w:rsidRPr="00EC604A">
              <w:rPr>
                <w:rFonts w:ascii="Times New Roman" w:hAnsi="Times New Roman" w:cs="Times New Roman"/>
                <w:sz w:val="24"/>
                <w:szCs w:val="24"/>
              </w:rPr>
              <w:t xml:space="preserve">Companies may also apply under </w:t>
            </w:r>
            <w:r w:rsidRPr="00EC604A">
              <w:rPr>
                <w:rFonts w:ascii="Times New Roman" w:hAnsi="Times New Roman" w:cs="Times New Roman"/>
                <w:i/>
                <w:sz w:val="24"/>
                <w:szCs w:val="24"/>
              </w:rPr>
              <w:t>de-</w:t>
            </w:r>
            <w:proofErr w:type="spellStart"/>
            <w:r w:rsidRPr="00EC604A">
              <w:rPr>
                <w:rFonts w:ascii="Times New Roman" w:hAnsi="Times New Roman" w:cs="Times New Roman"/>
                <w:i/>
                <w:sz w:val="24"/>
                <w:szCs w:val="24"/>
              </w:rPr>
              <w:t>minimis</w:t>
            </w:r>
            <w:proofErr w:type="spellEnd"/>
            <w:r w:rsidRPr="00EC604A">
              <w:rPr>
                <w:rFonts w:ascii="Times New Roman" w:hAnsi="Times New Roman" w:cs="Times New Roman"/>
                <w:sz w:val="24"/>
                <w:szCs w:val="24"/>
              </w:rPr>
              <w:t xml:space="preserve"> rules, where B4I will fund 100% of STFC project costs (maximum £50,000) and no </w:t>
            </w:r>
            <w:r w:rsidR="005D006E" w:rsidRPr="00EC604A">
              <w:rPr>
                <w:rFonts w:ascii="Times New Roman" w:hAnsi="Times New Roman" w:cs="Times New Roman"/>
                <w:sz w:val="24"/>
                <w:szCs w:val="24"/>
              </w:rPr>
              <w:t>company</w:t>
            </w:r>
            <w:r w:rsidRPr="00EC604A">
              <w:rPr>
                <w:rFonts w:ascii="Times New Roman" w:hAnsi="Times New Roman" w:cs="Times New Roman"/>
                <w:sz w:val="24"/>
                <w:szCs w:val="24"/>
              </w:rPr>
              <w:t xml:space="preserve"> contribution is required.</w:t>
            </w:r>
          </w:p>
          <w:p w14:paraId="6182D479" w14:textId="77777777" w:rsidR="00EE0A7E" w:rsidRPr="00EC604A" w:rsidRDefault="00EE0A7E" w:rsidP="00EE0A7E">
            <w:pPr>
              <w:rPr>
                <w:rFonts w:ascii="Times New Roman" w:hAnsi="Times New Roman" w:cs="Times New Roman"/>
                <w:sz w:val="24"/>
                <w:szCs w:val="24"/>
              </w:rPr>
            </w:pPr>
          </w:p>
        </w:tc>
      </w:tr>
      <w:tr w:rsidR="00EE0A7E" w:rsidRPr="00EC604A" w14:paraId="5CF2625E" w14:textId="77777777" w:rsidTr="009A0780">
        <w:tc>
          <w:tcPr>
            <w:tcW w:w="1696" w:type="dxa"/>
          </w:tcPr>
          <w:p w14:paraId="632FACA8" w14:textId="77777777" w:rsidR="00EE0A7E" w:rsidRPr="00EC604A" w:rsidRDefault="00EE0A7E">
            <w:pPr>
              <w:rPr>
                <w:rFonts w:ascii="Times New Roman" w:hAnsi="Times New Roman" w:cs="Times New Roman"/>
                <w:sz w:val="24"/>
                <w:szCs w:val="24"/>
              </w:rPr>
            </w:pPr>
          </w:p>
          <w:p w14:paraId="36FF8DF6" w14:textId="77777777" w:rsidR="00EE0A7E" w:rsidRPr="00EC604A" w:rsidRDefault="00EE0A7E">
            <w:pPr>
              <w:rPr>
                <w:rFonts w:ascii="Times New Roman" w:hAnsi="Times New Roman" w:cs="Times New Roman"/>
                <w:sz w:val="24"/>
                <w:szCs w:val="24"/>
              </w:rPr>
            </w:pPr>
            <w:r w:rsidRPr="00EC604A">
              <w:rPr>
                <w:rFonts w:ascii="Times New Roman" w:hAnsi="Times New Roman" w:cs="Times New Roman"/>
                <w:sz w:val="24"/>
                <w:szCs w:val="24"/>
              </w:rPr>
              <w:t>Project Size</w:t>
            </w:r>
          </w:p>
        </w:tc>
        <w:tc>
          <w:tcPr>
            <w:tcW w:w="7320" w:type="dxa"/>
          </w:tcPr>
          <w:p w14:paraId="04F5E38C" w14:textId="77777777" w:rsidR="00EE0A7E" w:rsidRPr="00EC604A" w:rsidRDefault="00EE0A7E" w:rsidP="00EE0A7E">
            <w:pPr>
              <w:rPr>
                <w:rFonts w:ascii="Times New Roman" w:hAnsi="Times New Roman" w:cs="Times New Roman"/>
                <w:sz w:val="24"/>
                <w:szCs w:val="24"/>
              </w:rPr>
            </w:pPr>
          </w:p>
          <w:p w14:paraId="682728C8" w14:textId="77777777" w:rsidR="00EE0A7E" w:rsidRPr="00EC604A" w:rsidRDefault="00EE0A7E" w:rsidP="00EE0A7E">
            <w:pPr>
              <w:rPr>
                <w:rFonts w:ascii="Times New Roman" w:hAnsi="Times New Roman" w:cs="Times New Roman"/>
                <w:sz w:val="24"/>
                <w:szCs w:val="24"/>
              </w:rPr>
            </w:pPr>
            <w:r w:rsidRPr="00EC604A">
              <w:rPr>
                <w:rFonts w:ascii="Times New Roman" w:hAnsi="Times New Roman" w:cs="Times New Roman"/>
                <w:sz w:val="24"/>
                <w:szCs w:val="24"/>
              </w:rPr>
              <w:t xml:space="preserve">Most projects are expected to cost up to £50,000 and last between 3 and 12 months. High potential projects, those that demonstrate substantial productivity benefits to the participating company, may be eligible for more funding.  </w:t>
            </w:r>
          </w:p>
          <w:p w14:paraId="41545FF7" w14:textId="77777777" w:rsidR="00EE0A7E" w:rsidRPr="00EC604A" w:rsidRDefault="00EE0A7E" w:rsidP="00EE0A7E">
            <w:pPr>
              <w:rPr>
                <w:rFonts w:ascii="Times New Roman" w:hAnsi="Times New Roman" w:cs="Times New Roman"/>
                <w:sz w:val="24"/>
                <w:szCs w:val="24"/>
              </w:rPr>
            </w:pPr>
          </w:p>
        </w:tc>
      </w:tr>
      <w:tr w:rsidR="00EE0A7E" w:rsidRPr="00EC604A" w14:paraId="6C2F5773" w14:textId="77777777" w:rsidTr="009A0780">
        <w:tc>
          <w:tcPr>
            <w:tcW w:w="1696" w:type="dxa"/>
          </w:tcPr>
          <w:p w14:paraId="59B48F9B" w14:textId="77777777" w:rsidR="009A0780" w:rsidRPr="00EC604A" w:rsidRDefault="009A0780">
            <w:pPr>
              <w:rPr>
                <w:rFonts w:ascii="Times New Roman" w:hAnsi="Times New Roman" w:cs="Times New Roman"/>
                <w:sz w:val="24"/>
                <w:szCs w:val="24"/>
              </w:rPr>
            </w:pPr>
          </w:p>
          <w:p w14:paraId="7EF616E1" w14:textId="77777777" w:rsidR="00EE0A7E" w:rsidRPr="00EC604A" w:rsidRDefault="00EE0A7E">
            <w:pPr>
              <w:rPr>
                <w:rFonts w:ascii="Times New Roman" w:hAnsi="Times New Roman" w:cs="Times New Roman"/>
                <w:sz w:val="24"/>
                <w:szCs w:val="24"/>
              </w:rPr>
            </w:pPr>
            <w:r w:rsidRPr="00EC604A">
              <w:rPr>
                <w:rFonts w:ascii="Times New Roman" w:hAnsi="Times New Roman" w:cs="Times New Roman"/>
                <w:sz w:val="24"/>
                <w:szCs w:val="24"/>
              </w:rPr>
              <w:t xml:space="preserve">Eligibility </w:t>
            </w:r>
          </w:p>
        </w:tc>
        <w:tc>
          <w:tcPr>
            <w:tcW w:w="7320" w:type="dxa"/>
          </w:tcPr>
          <w:p w14:paraId="41D8B351" w14:textId="77777777" w:rsidR="009A0780" w:rsidRPr="00EC604A" w:rsidRDefault="009A0780">
            <w:pPr>
              <w:rPr>
                <w:rFonts w:ascii="Times New Roman" w:hAnsi="Times New Roman" w:cs="Times New Roman"/>
                <w:sz w:val="24"/>
                <w:szCs w:val="24"/>
                <w:lang w:val="en"/>
              </w:rPr>
            </w:pPr>
          </w:p>
          <w:p w14:paraId="316414C0" w14:textId="77777777" w:rsidR="00EE0A7E" w:rsidRPr="00EC604A" w:rsidRDefault="009A0780">
            <w:pPr>
              <w:rPr>
                <w:rFonts w:ascii="Times New Roman" w:hAnsi="Times New Roman" w:cs="Times New Roman"/>
                <w:sz w:val="24"/>
                <w:szCs w:val="24"/>
                <w:lang w:val="en"/>
              </w:rPr>
            </w:pPr>
            <w:r w:rsidRPr="00EC604A">
              <w:rPr>
                <w:rFonts w:ascii="Times New Roman" w:hAnsi="Times New Roman" w:cs="Times New Roman"/>
                <w:sz w:val="24"/>
                <w:szCs w:val="24"/>
                <w:lang w:val="en"/>
              </w:rPr>
              <w:t>To be eligible for funding you must:</w:t>
            </w:r>
          </w:p>
          <w:p w14:paraId="677CD9EC" w14:textId="77777777" w:rsidR="009A0780" w:rsidRPr="00EC604A" w:rsidRDefault="009A0780" w:rsidP="009A0780">
            <w:pPr>
              <w:pStyle w:val="ListParagraph"/>
              <w:numPr>
                <w:ilvl w:val="0"/>
                <w:numId w:val="1"/>
              </w:numPr>
              <w:rPr>
                <w:rFonts w:ascii="Times New Roman" w:hAnsi="Times New Roman" w:cs="Times New Roman"/>
                <w:sz w:val="24"/>
                <w:szCs w:val="24"/>
              </w:rPr>
            </w:pPr>
            <w:r w:rsidRPr="00EC604A">
              <w:rPr>
                <w:rFonts w:ascii="Times New Roman" w:hAnsi="Times New Roman" w:cs="Times New Roman"/>
                <w:sz w:val="24"/>
                <w:szCs w:val="24"/>
                <w:lang w:val="en"/>
              </w:rPr>
              <w:t>Be a UK based business of any size registered at Companies House;</w:t>
            </w:r>
          </w:p>
          <w:p w14:paraId="3BC11A36" w14:textId="77777777" w:rsidR="009A0780" w:rsidRPr="00EC604A" w:rsidRDefault="009A0780" w:rsidP="009A0780">
            <w:pPr>
              <w:pStyle w:val="ListParagraph"/>
              <w:numPr>
                <w:ilvl w:val="0"/>
                <w:numId w:val="1"/>
              </w:numPr>
              <w:rPr>
                <w:rFonts w:ascii="Times New Roman" w:hAnsi="Times New Roman" w:cs="Times New Roman"/>
                <w:sz w:val="24"/>
                <w:szCs w:val="24"/>
              </w:rPr>
            </w:pPr>
            <w:r w:rsidRPr="00EC604A">
              <w:rPr>
                <w:rFonts w:ascii="Times New Roman" w:hAnsi="Times New Roman" w:cs="Times New Roman"/>
                <w:sz w:val="24"/>
                <w:szCs w:val="24"/>
              </w:rPr>
              <w:lastRenderedPageBreak/>
              <w:t>Have a manufacturing base for the relevant product in the UK or provide the relevant service in the UK;</w:t>
            </w:r>
          </w:p>
          <w:p w14:paraId="7A175D89" w14:textId="77777777" w:rsidR="009A0780" w:rsidRPr="00EC604A" w:rsidRDefault="009A0780" w:rsidP="009A0780">
            <w:pPr>
              <w:pStyle w:val="ListParagraph"/>
              <w:numPr>
                <w:ilvl w:val="0"/>
                <w:numId w:val="1"/>
              </w:numPr>
              <w:rPr>
                <w:rFonts w:ascii="Times New Roman" w:hAnsi="Times New Roman" w:cs="Times New Roman"/>
                <w:sz w:val="24"/>
                <w:szCs w:val="24"/>
              </w:rPr>
            </w:pPr>
            <w:r w:rsidRPr="00EC604A">
              <w:rPr>
                <w:rFonts w:ascii="Times New Roman" w:hAnsi="Times New Roman" w:cs="Times New Roman"/>
                <w:sz w:val="24"/>
                <w:szCs w:val="24"/>
                <w:lang w:val="en"/>
              </w:rPr>
              <w:t>Intend to exploit the results in the UK.</w:t>
            </w:r>
          </w:p>
          <w:p w14:paraId="6D6C3B64" w14:textId="77777777" w:rsidR="009A0780" w:rsidRPr="00EC604A" w:rsidRDefault="009A0780" w:rsidP="009A0780">
            <w:pPr>
              <w:pStyle w:val="ListParagraph"/>
              <w:rPr>
                <w:rFonts w:ascii="Times New Roman" w:hAnsi="Times New Roman" w:cs="Times New Roman"/>
                <w:sz w:val="24"/>
                <w:szCs w:val="24"/>
              </w:rPr>
            </w:pPr>
          </w:p>
        </w:tc>
      </w:tr>
      <w:tr w:rsidR="00EE0A7E" w:rsidRPr="00EC604A" w14:paraId="416CC001" w14:textId="77777777" w:rsidTr="009A0780">
        <w:tc>
          <w:tcPr>
            <w:tcW w:w="1696" w:type="dxa"/>
          </w:tcPr>
          <w:p w14:paraId="6F3AB4CF" w14:textId="77777777" w:rsidR="009A0780" w:rsidRPr="00EC604A" w:rsidRDefault="009A0780">
            <w:pPr>
              <w:rPr>
                <w:rFonts w:ascii="Times New Roman" w:hAnsi="Times New Roman" w:cs="Times New Roman"/>
                <w:sz w:val="24"/>
                <w:szCs w:val="24"/>
              </w:rPr>
            </w:pPr>
          </w:p>
          <w:p w14:paraId="3A3767E7" w14:textId="77777777" w:rsidR="00EE0A7E" w:rsidRPr="00EC604A" w:rsidRDefault="009A0780">
            <w:pPr>
              <w:rPr>
                <w:rFonts w:ascii="Times New Roman" w:hAnsi="Times New Roman" w:cs="Times New Roman"/>
                <w:sz w:val="24"/>
                <w:szCs w:val="24"/>
              </w:rPr>
            </w:pPr>
            <w:r w:rsidRPr="00EC604A">
              <w:rPr>
                <w:rFonts w:ascii="Times New Roman" w:hAnsi="Times New Roman" w:cs="Times New Roman"/>
                <w:sz w:val="24"/>
                <w:szCs w:val="24"/>
              </w:rPr>
              <w:t>Projects that we won’t fund</w:t>
            </w:r>
          </w:p>
        </w:tc>
        <w:tc>
          <w:tcPr>
            <w:tcW w:w="7320" w:type="dxa"/>
          </w:tcPr>
          <w:p w14:paraId="7A99E8BF" w14:textId="77777777" w:rsidR="009A0780" w:rsidRPr="00EC604A" w:rsidRDefault="009A0780">
            <w:pPr>
              <w:rPr>
                <w:rFonts w:ascii="Times New Roman" w:hAnsi="Times New Roman" w:cs="Times New Roman"/>
                <w:sz w:val="24"/>
                <w:szCs w:val="24"/>
              </w:rPr>
            </w:pPr>
          </w:p>
          <w:p w14:paraId="7D82F3CD" w14:textId="77777777" w:rsidR="00EE0A7E" w:rsidRPr="00EC604A" w:rsidRDefault="009A0780">
            <w:pPr>
              <w:rPr>
                <w:rFonts w:ascii="Times New Roman" w:hAnsi="Times New Roman" w:cs="Times New Roman"/>
                <w:sz w:val="24"/>
                <w:szCs w:val="24"/>
              </w:rPr>
            </w:pPr>
            <w:r w:rsidRPr="00EC604A">
              <w:rPr>
                <w:rFonts w:ascii="Times New Roman" w:hAnsi="Times New Roman" w:cs="Times New Roman"/>
                <w:sz w:val="24"/>
                <w:szCs w:val="24"/>
              </w:rPr>
              <w:t>In this competition we are not funding projects that are related to:</w:t>
            </w:r>
          </w:p>
          <w:p w14:paraId="23CFE899" w14:textId="130C6A00" w:rsidR="009A0780" w:rsidRPr="00EC604A" w:rsidRDefault="009A0780" w:rsidP="009A0780">
            <w:pPr>
              <w:pStyle w:val="ListParagraph"/>
              <w:numPr>
                <w:ilvl w:val="0"/>
                <w:numId w:val="1"/>
              </w:numPr>
              <w:rPr>
                <w:rFonts w:ascii="Times New Roman" w:hAnsi="Times New Roman" w:cs="Times New Roman"/>
                <w:sz w:val="24"/>
                <w:szCs w:val="24"/>
              </w:rPr>
            </w:pPr>
            <w:r w:rsidRPr="00EC604A">
              <w:rPr>
                <w:rFonts w:ascii="Times New Roman" w:hAnsi="Times New Roman" w:cs="Times New Roman"/>
                <w:sz w:val="24"/>
                <w:szCs w:val="24"/>
              </w:rPr>
              <w:t>Fundamental research;</w:t>
            </w:r>
          </w:p>
          <w:p w14:paraId="7A1B096C" w14:textId="00732402" w:rsidR="009A0780" w:rsidRPr="00EC604A" w:rsidRDefault="00A12B55" w:rsidP="009A07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Early a</w:t>
            </w:r>
            <w:r w:rsidR="008413E8">
              <w:rPr>
                <w:rFonts w:ascii="Times New Roman" w:hAnsi="Times New Roman" w:cs="Times New Roman"/>
                <w:sz w:val="24"/>
                <w:szCs w:val="24"/>
              </w:rPr>
              <w:t>pplied</w:t>
            </w:r>
            <w:r w:rsidR="002A1CBD" w:rsidRPr="00EC604A">
              <w:rPr>
                <w:rFonts w:ascii="Times New Roman" w:hAnsi="Times New Roman" w:cs="Times New Roman"/>
                <w:sz w:val="24"/>
                <w:szCs w:val="24"/>
              </w:rPr>
              <w:t xml:space="preserve"> R&amp;D activities</w:t>
            </w:r>
            <w:r w:rsidR="009A0780" w:rsidRPr="00EC604A">
              <w:rPr>
                <w:rFonts w:ascii="Times New Roman" w:hAnsi="Times New Roman" w:cs="Times New Roman"/>
                <w:sz w:val="24"/>
                <w:szCs w:val="24"/>
              </w:rPr>
              <w:t>;</w:t>
            </w:r>
          </w:p>
          <w:p w14:paraId="7A457E40" w14:textId="77777777" w:rsidR="009A0780" w:rsidRPr="00EC604A" w:rsidRDefault="009A0780" w:rsidP="009A0780">
            <w:pPr>
              <w:pStyle w:val="ListParagraph"/>
              <w:numPr>
                <w:ilvl w:val="0"/>
                <w:numId w:val="1"/>
              </w:numPr>
              <w:rPr>
                <w:rFonts w:ascii="Times New Roman" w:hAnsi="Times New Roman" w:cs="Times New Roman"/>
                <w:sz w:val="24"/>
                <w:szCs w:val="24"/>
              </w:rPr>
            </w:pPr>
            <w:r w:rsidRPr="00EC604A">
              <w:rPr>
                <w:rFonts w:ascii="Times New Roman" w:hAnsi="Times New Roman" w:cs="Times New Roman"/>
                <w:sz w:val="24"/>
                <w:szCs w:val="24"/>
              </w:rPr>
              <w:t>Market analysis;</w:t>
            </w:r>
          </w:p>
          <w:p w14:paraId="57094D91" w14:textId="74B5D8CC" w:rsidR="009A0780" w:rsidRDefault="009A0780" w:rsidP="009A0780">
            <w:pPr>
              <w:pStyle w:val="ListParagraph"/>
              <w:numPr>
                <w:ilvl w:val="0"/>
                <w:numId w:val="1"/>
              </w:numPr>
              <w:rPr>
                <w:rFonts w:ascii="Times New Roman" w:hAnsi="Times New Roman" w:cs="Times New Roman"/>
                <w:sz w:val="24"/>
                <w:szCs w:val="24"/>
              </w:rPr>
            </w:pPr>
            <w:r w:rsidRPr="00EC604A">
              <w:rPr>
                <w:rFonts w:ascii="Times New Roman" w:hAnsi="Times New Roman" w:cs="Times New Roman"/>
                <w:sz w:val="24"/>
                <w:szCs w:val="24"/>
              </w:rPr>
              <w:t>Testing and measurement services.</w:t>
            </w:r>
          </w:p>
          <w:p w14:paraId="1AF1984F" w14:textId="4AEC5240" w:rsidR="009A0780" w:rsidRPr="00297486" w:rsidRDefault="009A0780" w:rsidP="00297486">
            <w:pPr>
              <w:spacing w:after="120"/>
              <w:rPr>
                <w:rFonts w:ascii="Times New Roman" w:hAnsi="Times New Roman" w:cs="Times New Roman"/>
              </w:rPr>
            </w:pPr>
          </w:p>
        </w:tc>
      </w:tr>
      <w:tr w:rsidR="00EE0A7E" w:rsidRPr="00EC604A" w14:paraId="6339C7BD" w14:textId="77777777" w:rsidTr="009A0780">
        <w:tc>
          <w:tcPr>
            <w:tcW w:w="1696" w:type="dxa"/>
          </w:tcPr>
          <w:p w14:paraId="040EADC6" w14:textId="77777777" w:rsidR="006E7898" w:rsidRPr="00EC604A" w:rsidRDefault="006E7898">
            <w:pPr>
              <w:rPr>
                <w:rFonts w:ascii="Times New Roman" w:hAnsi="Times New Roman" w:cs="Times New Roman"/>
                <w:sz w:val="24"/>
                <w:szCs w:val="24"/>
              </w:rPr>
            </w:pPr>
          </w:p>
          <w:p w14:paraId="422D3C60" w14:textId="77777777" w:rsidR="00EE0A7E" w:rsidRPr="00EC604A" w:rsidRDefault="009A0780">
            <w:pPr>
              <w:rPr>
                <w:rFonts w:ascii="Times New Roman" w:hAnsi="Times New Roman" w:cs="Times New Roman"/>
                <w:sz w:val="24"/>
                <w:szCs w:val="24"/>
              </w:rPr>
            </w:pPr>
            <w:r w:rsidRPr="00EC604A">
              <w:rPr>
                <w:rFonts w:ascii="Times New Roman" w:hAnsi="Times New Roman" w:cs="Times New Roman"/>
                <w:sz w:val="24"/>
                <w:szCs w:val="24"/>
              </w:rPr>
              <w:t>Scope</w:t>
            </w:r>
          </w:p>
        </w:tc>
        <w:tc>
          <w:tcPr>
            <w:tcW w:w="7320" w:type="dxa"/>
          </w:tcPr>
          <w:p w14:paraId="5C721899" w14:textId="77777777" w:rsidR="006E7898" w:rsidRPr="00EC604A" w:rsidRDefault="006E7898" w:rsidP="006E7898">
            <w:pPr>
              <w:rPr>
                <w:rFonts w:ascii="Times New Roman" w:hAnsi="Times New Roman" w:cs="Times New Roman"/>
                <w:sz w:val="24"/>
                <w:szCs w:val="24"/>
              </w:rPr>
            </w:pPr>
          </w:p>
          <w:p w14:paraId="2B33D9A7" w14:textId="77777777" w:rsidR="00D16DF9" w:rsidRDefault="006E7898" w:rsidP="006E7898">
            <w:pPr>
              <w:rPr>
                <w:rFonts w:ascii="Times New Roman" w:eastAsia="Times New Roman" w:hAnsi="Times New Roman" w:cs="Times New Roman"/>
                <w:color w:val="000000"/>
                <w:sz w:val="24"/>
                <w:szCs w:val="24"/>
                <w:lang w:eastAsia="en-GB"/>
              </w:rPr>
            </w:pPr>
            <w:r w:rsidRPr="00EC604A">
              <w:rPr>
                <w:rFonts w:ascii="Times New Roman" w:hAnsi="Times New Roman" w:cs="Times New Roman"/>
                <w:sz w:val="24"/>
                <w:szCs w:val="24"/>
              </w:rPr>
              <w:t xml:space="preserve">The programme is intended to help companies, through access to advanced analytical technologies and supporting expertise, overcome intractable product or process performance problems in manufacturing or services which have a high impact on </w:t>
            </w:r>
            <w:r w:rsidR="00FA4424">
              <w:rPr>
                <w:rFonts w:ascii="Times New Roman" w:hAnsi="Times New Roman" w:cs="Times New Roman"/>
                <w:sz w:val="24"/>
                <w:szCs w:val="24"/>
              </w:rPr>
              <w:t xml:space="preserve">UK </w:t>
            </w:r>
            <w:r w:rsidRPr="00EC604A">
              <w:rPr>
                <w:rFonts w:ascii="Times New Roman" w:hAnsi="Times New Roman" w:cs="Times New Roman"/>
                <w:sz w:val="24"/>
                <w:szCs w:val="24"/>
              </w:rPr>
              <w:t xml:space="preserve">productivity. </w:t>
            </w:r>
            <w:r w:rsidRPr="00EC604A">
              <w:rPr>
                <w:rFonts w:ascii="Times New Roman" w:eastAsia="Times New Roman" w:hAnsi="Times New Roman" w:cs="Times New Roman"/>
                <w:color w:val="000000"/>
                <w:sz w:val="24"/>
                <w:szCs w:val="24"/>
                <w:lang w:eastAsia="en-GB"/>
              </w:rPr>
              <w:t>Projects are selected where there is evidence that UK economic growth will result from participation in the programme.</w:t>
            </w:r>
          </w:p>
          <w:p w14:paraId="20268ABD" w14:textId="5B9B0678" w:rsidR="00EE0A7E" w:rsidRDefault="00D16DF9" w:rsidP="00D16DF9">
            <w:pPr>
              <w:spacing w:before="6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There are multiple, often inter-related, factors that influence national productivity. In the case of</w:t>
            </w:r>
            <w:r w:rsidR="00A254E7">
              <w:rPr>
                <w:rFonts w:ascii="Times New Roman" w:eastAsia="Times New Roman" w:hAnsi="Times New Roman" w:cs="Times New Roman"/>
                <w:color w:val="000000"/>
                <w:sz w:val="24"/>
                <w:szCs w:val="24"/>
                <w:lang w:eastAsia="en-GB"/>
              </w:rPr>
              <w:t xml:space="preserve"> the B4I programme, companies </w:t>
            </w:r>
            <w:r w:rsidR="003F3FDE">
              <w:rPr>
                <w:rFonts w:ascii="Times New Roman" w:eastAsia="Times New Roman" w:hAnsi="Times New Roman" w:cs="Times New Roman"/>
                <w:color w:val="000000"/>
                <w:sz w:val="24"/>
                <w:szCs w:val="24"/>
                <w:lang w:eastAsia="en-GB"/>
              </w:rPr>
              <w:t>regularly</w:t>
            </w:r>
            <w:r w:rsidR="00A254E7">
              <w:rPr>
                <w:rFonts w:ascii="Times New Roman" w:eastAsia="Times New Roman" w:hAnsi="Times New Roman" w:cs="Times New Roman"/>
                <w:color w:val="000000"/>
                <w:sz w:val="24"/>
                <w:szCs w:val="24"/>
                <w:lang w:eastAsia="en-GB"/>
              </w:rPr>
              <w:t xml:space="preserve"> seek growth and profitability via innovation and new technology development</w:t>
            </w:r>
            <w:r w:rsidR="003F3FDE">
              <w:rPr>
                <w:rFonts w:ascii="Times New Roman" w:eastAsia="Times New Roman" w:hAnsi="Times New Roman" w:cs="Times New Roman"/>
                <w:color w:val="000000"/>
                <w:sz w:val="24"/>
                <w:szCs w:val="24"/>
                <w:lang w:eastAsia="en-GB"/>
              </w:rPr>
              <w:t>. This can create a number of positive outcomes (efficiency improvements, better or new products and services) which will often stimulate company growth and impact UK productivity</w:t>
            </w:r>
            <w:r w:rsidR="00A254E7">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w:t>
            </w:r>
            <w:r w:rsidR="00A254E7">
              <w:rPr>
                <w:rFonts w:ascii="Times New Roman" w:eastAsia="Times New Roman" w:hAnsi="Times New Roman" w:cs="Times New Roman"/>
                <w:color w:val="000000"/>
                <w:sz w:val="24"/>
                <w:szCs w:val="24"/>
                <w:lang w:eastAsia="en-GB"/>
              </w:rPr>
              <w:t>see</w:t>
            </w:r>
            <w:r>
              <w:rPr>
                <w:rFonts w:ascii="Times New Roman" w:eastAsia="Times New Roman" w:hAnsi="Times New Roman" w:cs="Times New Roman"/>
                <w:color w:val="000000"/>
                <w:sz w:val="24"/>
                <w:szCs w:val="24"/>
                <w:lang w:eastAsia="en-GB"/>
              </w:rPr>
              <w:t xml:space="preserve"> diagram below).</w:t>
            </w:r>
            <w:r w:rsidR="00A254E7">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   </w:t>
            </w:r>
            <w:r w:rsidR="006E7898" w:rsidRPr="00EC604A">
              <w:rPr>
                <w:rFonts w:ascii="Times New Roman" w:eastAsia="Times New Roman" w:hAnsi="Times New Roman" w:cs="Times New Roman"/>
                <w:color w:val="000000"/>
                <w:sz w:val="24"/>
                <w:szCs w:val="24"/>
                <w:lang w:eastAsia="en-GB"/>
              </w:rPr>
              <w:t xml:space="preserve"> </w:t>
            </w:r>
          </w:p>
          <w:p w14:paraId="25B143B7" w14:textId="6530110C" w:rsidR="00FA4424" w:rsidRDefault="00FA4424" w:rsidP="006E7898">
            <w:pPr>
              <w:rPr>
                <w:rFonts w:ascii="Times New Roman" w:eastAsia="Times New Roman" w:hAnsi="Times New Roman" w:cs="Times New Roman"/>
                <w:color w:val="000000"/>
                <w:sz w:val="24"/>
                <w:szCs w:val="24"/>
                <w:lang w:eastAsia="en-GB"/>
              </w:rPr>
            </w:pPr>
          </w:p>
          <w:p w14:paraId="000AF90B" w14:textId="4B385A9D" w:rsidR="00FA4424" w:rsidRDefault="00EB43FD" w:rsidP="00FA4424">
            <w:pPr>
              <w:jc w:val="center"/>
              <w:rPr>
                <w:rFonts w:ascii="Times New Roman" w:eastAsia="Times New Roman" w:hAnsi="Times New Roman" w:cs="Times New Roman"/>
                <w:color w:val="000000"/>
                <w:sz w:val="24"/>
                <w:szCs w:val="24"/>
                <w:lang w:eastAsia="en-GB"/>
              </w:rPr>
            </w:pPr>
            <w:r w:rsidRPr="00EB43FD">
              <w:rPr>
                <w:rFonts w:ascii="Times New Roman" w:hAnsi="Times New Roman" w:cs="Times New Roman"/>
                <w:noProof/>
                <w:sz w:val="24"/>
                <w:szCs w:val="24"/>
                <w:lang w:eastAsia="en-GB"/>
              </w:rPr>
              <w:drawing>
                <wp:inline distT="0" distB="0" distL="0" distR="0" wp14:anchorId="52A22585" wp14:editId="08999D10">
                  <wp:extent cx="4108059" cy="2379718"/>
                  <wp:effectExtent l="0" t="0" r="698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11365" cy="2381633"/>
                          </a:xfrm>
                          <a:prstGeom prst="rect">
                            <a:avLst/>
                          </a:prstGeom>
                          <a:noFill/>
                          <a:ln>
                            <a:noFill/>
                          </a:ln>
                        </pic:spPr>
                      </pic:pic>
                    </a:graphicData>
                  </a:graphic>
                </wp:inline>
              </w:drawing>
            </w:r>
          </w:p>
          <w:p w14:paraId="5B8BDA63" w14:textId="23836D3F" w:rsidR="00E115B3" w:rsidRPr="00EB43FD" w:rsidRDefault="00EB43FD" w:rsidP="00EB43FD">
            <w:pPr>
              <w:spacing w:before="12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There are multiple ways in which a company can innovate to stimulate growth, increase profitability and contribute to improving UK productivity. </w:t>
            </w:r>
            <w:r w:rsidR="00E115B3" w:rsidRPr="00EC604A">
              <w:rPr>
                <w:rFonts w:ascii="Times New Roman" w:hAnsi="Times New Roman" w:cs="Times New Roman"/>
                <w:sz w:val="24"/>
                <w:szCs w:val="24"/>
              </w:rPr>
              <w:t>Examples may include:</w:t>
            </w:r>
          </w:p>
          <w:p w14:paraId="1F45E3AE" w14:textId="3508E939" w:rsidR="00E115B3" w:rsidRPr="00EC604A" w:rsidRDefault="00E115B3" w:rsidP="00E115B3">
            <w:pPr>
              <w:pStyle w:val="ListParagraph"/>
              <w:numPr>
                <w:ilvl w:val="0"/>
                <w:numId w:val="3"/>
              </w:numPr>
              <w:rPr>
                <w:rFonts w:ascii="Times New Roman" w:hAnsi="Times New Roman" w:cs="Times New Roman"/>
                <w:sz w:val="24"/>
                <w:szCs w:val="24"/>
              </w:rPr>
            </w:pPr>
            <w:r w:rsidRPr="00EC604A">
              <w:rPr>
                <w:rFonts w:ascii="Times New Roman" w:hAnsi="Times New Roman" w:cs="Times New Roman"/>
                <w:sz w:val="24"/>
                <w:szCs w:val="24"/>
              </w:rPr>
              <w:t>Increasing the effici</w:t>
            </w:r>
            <w:r w:rsidR="00EB43FD">
              <w:rPr>
                <w:rFonts w:ascii="Times New Roman" w:hAnsi="Times New Roman" w:cs="Times New Roman"/>
                <w:sz w:val="24"/>
                <w:szCs w:val="24"/>
              </w:rPr>
              <w:t>ency of a manufacturing process;</w:t>
            </w:r>
          </w:p>
          <w:p w14:paraId="573C4A46" w14:textId="2689ED5D" w:rsidR="00E115B3" w:rsidRPr="00EC604A" w:rsidRDefault="00E115B3" w:rsidP="00E115B3">
            <w:pPr>
              <w:pStyle w:val="ListParagraph"/>
              <w:numPr>
                <w:ilvl w:val="0"/>
                <w:numId w:val="3"/>
              </w:numPr>
              <w:rPr>
                <w:rFonts w:ascii="Times New Roman" w:hAnsi="Times New Roman" w:cs="Times New Roman"/>
                <w:sz w:val="24"/>
                <w:szCs w:val="24"/>
              </w:rPr>
            </w:pPr>
            <w:r w:rsidRPr="00EC604A">
              <w:rPr>
                <w:rFonts w:ascii="Times New Roman" w:hAnsi="Times New Roman" w:cs="Times New Roman"/>
                <w:sz w:val="24"/>
                <w:szCs w:val="24"/>
              </w:rPr>
              <w:t>Improving product quality to reduce wastage</w:t>
            </w:r>
            <w:r w:rsidR="00A031FC" w:rsidRPr="00EC604A">
              <w:rPr>
                <w:rFonts w:ascii="Times New Roman" w:hAnsi="Times New Roman" w:cs="Times New Roman"/>
                <w:sz w:val="24"/>
                <w:szCs w:val="24"/>
              </w:rPr>
              <w:t xml:space="preserve"> or increase value</w:t>
            </w:r>
            <w:r w:rsidR="00EB43FD">
              <w:rPr>
                <w:rFonts w:ascii="Times New Roman" w:hAnsi="Times New Roman" w:cs="Times New Roman"/>
                <w:sz w:val="24"/>
                <w:szCs w:val="24"/>
              </w:rPr>
              <w:t>;</w:t>
            </w:r>
          </w:p>
          <w:p w14:paraId="3EFA44E2" w14:textId="5F958E30" w:rsidR="00E115B3" w:rsidRPr="00EC604A" w:rsidRDefault="00A031FC" w:rsidP="00E115B3">
            <w:pPr>
              <w:pStyle w:val="ListParagraph"/>
              <w:numPr>
                <w:ilvl w:val="0"/>
                <w:numId w:val="3"/>
              </w:numPr>
              <w:rPr>
                <w:rFonts w:ascii="Times New Roman" w:hAnsi="Times New Roman" w:cs="Times New Roman"/>
                <w:sz w:val="24"/>
                <w:szCs w:val="24"/>
              </w:rPr>
            </w:pPr>
            <w:r w:rsidRPr="00EC604A">
              <w:rPr>
                <w:rFonts w:ascii="Times New Roman" w:hAnsi="Times New Roman" w:cs="Times New Roman"/>
                <w:sz w:val="24"/>
                <w:szCs w:val="24"/>
              </w:rPr>
              <w:t>Developing automated business processe</w:t>
            </w:r>
            <w:r w:rsidR="00EB43FD">
              <w:rPr>
                <w:rFonts w:ascii="Times New Roman" w:hAnsi="Times New Roman" w:cs="Times New Roman"/>
                <w:sz w:val="24"/>
                <w:szCs w:val="24"/>
              </w:rPr>
              <w:t>s;</w:t>
            </w:r>
          </w:p>
          <w:p w14:paraId="7AAB4D7C" w14:textId="24D58CBC" w:rsidR="00EB43FD" w:rsidRDefault="00EB43FD" w:rsidP="00E115B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Creating new </w:t>
            </w:r>
            <w:r w:rsidR="005A0155">
              <w:rPr>
                <w:rFonts w:ascii="Times New Roman" w:hAnsi="Times New Roman" w:cs="Times New Roman"/>
                <w:sz w:val="24"/>
                <w:szCs w:val="24"/>
              </w:rPr>
              <w:t>innovative</w:t>
            </w:r>
            <w:r>
              <w:rPr>
                <w:rFonts w:ascii="Times New Roman" w:hAnsi="Times New Roman" w:cs="Times New Roman"/>
                <w:sz w:val="24"/>
                <w:szCs w:val="24"/>
              </w:rPr>
              <w:t xml:space="preserve"> technology;</w:t>
            </w:r>
          </w:p>
          <w:p w14:paraId="223169B2" w14:textId="7D720829" w:rsidR="00A031FC" w:rsidRPr="00EC604A" w:rsidRDefault="00A031FC" w:rsidP="00E115B3">
            <w:pPr>
              <w:pStyle w:val="ListParagraph"/>
              <w:numPr>
                <w:ilvl w:val="0"/>
                <w:numId w:val="3"/>
              </w:numPr>
              <w:rPr>
                <w:rFonts w:ascii="Times New Roman" w:hAnsi="Times New Roman" w:cs="Times New Roman"/>
                <w:sz w:val="24"/>
                <w:szCs w:val="24"/>
              </w:rPr>
            </w:pPr>
            <w:r w:rsidRPr="00EC604A">
              <w:rPr>
                <w:rFonts w:ascii="Times New Roman" w:hAnsi="Times New Roman" w:cs="Times New Roman"/>
                <w:sz w:val="24"/>
                <w:szCs w:val="24"/>
              </w:rPr>
              <w:t>Removing bo</w:t>
            </w:r>
            <w:r w:rsidR="00EB43FD">
              <w:rPr>
                <w:rFonts w:ascii="Times New Roman" w:hAnsi="Times New Roman" w:cs="Times New Roman"/>
                <w:sz w:val="24"/>
                <w:szCs w:val="24"/>
              </w:rPr>
              <w:t>ttlenecks in business processes;</w:t>
            </w:r>
          </w:p>
          <w:p w14:paraId="6BD70DBA" w14:textId="4ED261D1" w:rsidR="00EB43FD" w:rsidRDefault="00EB43FD" w:rsidP="00E115B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Increasing cost competiveness;</w:t>
            </w:r>
          </w:p>
          <w:p w14:paraId="77FF7F17" w14:textId="11081236" w:rsidR="00EB43FD" w:rsidRDefault="00EB43FD" w:rsidP="00E115B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Accelerating the route to market for new or improved products/services. </w:t>
            </w:r>
          </w:p>
          <w:p w14:paraId="5CB0921A" w14:textId="44ABD44E" w:rsidR="006A7AB8" w:rsidRDefault="006A7AB8" w:rsidP="00E115B3">
            <w:pPr>
              <w:pStyle w:val="ListParagraph"/>
              <w:numPr>
                <w:ilvl w:val="0"/>
                <w:numId w:val="3"/>
              </w:numPr>
              <w:rPr>
                <w:rFonts w:ascii="Times New Roman" w:hAnsi="Times New Roman" w:cs="Times New Roman"/>
                <w:sz w:val="24"/>
                <w:szCs w:val="24"/>
              </w:rPr>
            </w:pPr>
            <w:r w:rsidRPr="00EC604A">
              <w:rPr>
                <w:rFonts w:ascii="Times New Roman" w:hAnsi="Times New Roman" w:cs="Times New Roman"/>
                <w:sz w:val="24"/>
                <w:szCs w:val="24"/>
              </w:rPr>
              <w:t>Creating or developing new business.</w:t>
            </w:r>
          </w:p>
          <w:p w14:paraId="0EFC99F1" w14:textId="37B14089" w:rsidR="008413E8" w:rsidRDefault="008413E8" w:rsidP="008413E8"/>
          <w:p w14:paraId="6FBF0018" w14:textId="32A12CCB" w:rsidR="00A12B55" w:rsidRDefault="008413E8" w:rsidP="00A031FC">
            <w:pPr>
              <w:rPr>
                <w:rFonts w:ascii="Times New Roman" w:hAnsi="Times New Roman" w:cs="Times New Roman"/>
                <w:sz w:val="24"/>
                <w:szCs w:val="24"/>
              </w:rPr>
            </w:pPr>
            <w:r>
              <w:rPr>
                <w:rFonts w:ascii="Times New Roman" w:hAnsi="Times New Roman" w:cs="Times New Roman"/>
                <w:sz w:val="24"/>
                <w:szCs w:val="24"/>
              </w:rPr>
              <w:t xml:space="preserve">The Bridging for Innovators programme is </w:t>
            </w:r>
            <w:r w:rsidR="004B332D">
              <w:rPr>
                <w:rFonts w:ascii="Times New Roman" w:hAnsi="Times New Roman" w:cs="Times New Roman"/>
                <w:sz w:val="24"/>
                <w:szCs w:val="24"/>
              </w:rPr>
              <w:t>setup</w:t>
            </w:r>
            <w:r w:rsidR="00826F4B">
              <w:rPr>
                <w:rFonts w:ascii="Times New Roman" w:hAnsi="Times New Roman" w:cs="Times New Roman"/>
                <w:sz w:val="24"/>
                <w:szCs w:val="24"/>
              </w:rPr>
              <w:t xml:space="preserve"> specifically </w:t>
            </w:r>
            <w:r w:rsidR="004B332D">
              <w:rPr>
                <w:rFonts w:ascii="Times New Roman" w:hAnsi="Times New Roman" w:cs="Times New Roman"/>
                <w:sz w:val="24"/>
                <w:szCs w:val="24"/>
              </w:rPr>
              <w:t xml:space="preserve">to </w:t>
            </w:r>
            <w:r w:rsidR="00A12B55">
              <w:rPr>
                <w:rFonts w:ascii="Times New Roman" w:hAnsi="Times New Roman" w:cs="Times New Roman"/>
                <w:sz w:val="24"/>
                <w:szCs w:val="24"/>
              </w:rPr>
              <w:t>assist companies:</w:t>
            </w:r>
            <w:r w:rsidR="004B332D">
              <w:rPr>
                <w:rFonts w:ascii="Times New Roman" w:hAnsi="Times New Roman" w:cs="Times New Roman"/>
                <w:sz w:val="24"/>
                <w:szCs w:val="24"/>
              </w:rPr>
              <w:t xml:space="preserve"> </w:t>
            </w:r>
          </w:p>
          <w:p w14:paraId="0D689E10" w14:textId="40870D41" w:rsidR="00A12B55" w:rsidRDefault="00A12B55" w:rsidP="00A12B55">
            <w:pPr>
              <w:spacing w:before="40"/>
              <w:rPr>
                <w:rFonts w:ascii="Times New Roman" w:hAnsi="Times New Roman" w:cs="Times New Roman"/>
                <w:sz w:val="24"/>
                <w:szCs w:val="24"/>
              </w:rPr>
            </w:pPr>
            <w:r>
              <w:rPr>
                <w:rFonts w:ascii="Times New Roman" w:hAnsi="Times New Roman" w:cs="Times New Roman"/>
                <w:sz w:val="24"/>
                <w:szCs w:val="24"/>
              </w:rPr>
              <w:t>Improve</w:t>
            </w:r>
            <w:r w:rsidR="00297486">
              <w:rPr>
                <w:rFonts w:ascii="Times New Roman" w:hAnsi="Times New Roman" w:cs="Times New Roman"/>
                <w:sz w:val="24"/>
                <w:szCs w:val="24"/>
              </w:rPr>
              <w:t xml:space="preserve"> commercially deployed products/services</w:t>
            </w:r>
            <w:r>
              <w:rPr>
                <w:rFonts w:ascii="Times New Roman" w:hAnsi="Times New Roman" w:cs="Times New Roman"/>
                <w:sz w:val="24"/>
                <w:szCs w:val="24"/>
              </w:rPr>
              <w:t>;</w:t>
            </w:r>
            <w:r w:rsidR="00297486">
              <w:rPr>
                <w:rFonts w:ascii="Times New Roman" w:hAnsi="Times New Roman" w:cs="Times New Roman"/>
                <w:sz w:val="24"/>
                <w:szCs w:val="24"/>
              </w:rPr>
              <w:t xml:space="preserve"> </w:t>
            </w:r>
          </w:p>
          <w:p w14:paraId="3DBD33E4" w14:textId="08B7B61D" w:rsidR="00A12B55" w:rsidRDefault="00297486" w:rsidP="00A12B55">
            <w:pPr>
              <w:jc w:val="center"/>
              <w:rPr>
                <w:rFonts w:ascii="Times New Roman" w:hAnsi="Times New Roman" w:cs="Times New Roman"/>
                <w:sz w:val="24"/>
                <w:szCs w:val="24"/>
              </w:rPr>
            </w:pPr>
            <w:r>
              <w:rPr>
                <w:rFonts w:ascii="Times New Roman" w:hAnsi="Times New Roman" w:cs="Times New Roman"/>
                <w:sz w:val="24"/>
                <w:szCs w:val="24"/>
              </w:rPr>
              <w:t>or</w:t>
            </w:r>
          </w:p>
          <w:p w14:paraId="0519D578" w14:textId="3F21A4C2" w:rsidR="008413E8" w:rsidRDefault="00A12B55" w:rsidP="00A031FC">
            <w:pPr>
              <w:rPr>
                <w:rFonts w:ascii="Times New Roman" w:hAnsi="Times New Roman" w:cs="Times New Roman"/>
                <w:sz w:val="24"/>
                <w:szCs w:val="24"/>
              </w:rPr>
            </w:pPr>
            <w:r>
              <w:rPr>
                <w:rFonts w:ascii="Times New Roman" w:hAnsi="Times New Roman" w:cs="Times New Roman"/>
                <w:sz w:val="24"/>
                <w:szCs w:val="24"/>
              </w:rPr>
              <w:t>A</w:t>
            </w:r>
            <w:r w:rsidR="004B332D">
              <w:rPr>
                <w:rFonts w:ascii="Times New Roman" w:hAnsi="Times New Roman" w:cs="Times New Roman"/>
                <w:sz w:val="24"/>
                <w:szCs w:val="24"/>
              </w:rPr>
              <w:t>ccelerat</w:t>
            </w:r>
            <w:r>
              <w:rPr>
                <w:rFonts w:ascii="Times New Roman" w:hAnsi="Times New Roman" w:cs="Times New Roman"/>
                <w:sz w:val="24"/>
                <w:szCs w:val="24"/>
              </w:rPr>
              <w:t>e</w:t>
            </w:r>
            <w:r w:rsidR="004B332D">
              <w:rPr>
                <w:rFonts w:ascii="Times New Roman" w:hAnsi="Times New Roman" w:cs="Times New Roman"/>
                <w:sz w:val="24"/>
                <w:szCs w:val="24"/>
              </w:rPr>
              <w:t xml:space="preserve"> the development of new products/services that are</w:t>
            </w:r>
            <w:r w:rsidR="00297486">
              <w:rPr>
                <w:rFonts w:ascii="Times New Roman" w:hAnsi="Times New Roman" w:cs="Times New Roman"/>
                <w:sz w:val="24"/>
                <w:szCs w:val="24"/>
              </w:rPr>
              <w:t xml:space="preserve"> in</w:t>
            </w:r>
            <w:r>
              <w:rPr>
                <w:rFonts w:ascii="Times New Roman" w:hAnsi="Times New Roman" w:cs="Times New Roman"/>
                <w:sz w:val="24"/>
                <w:szCs w:val="24"/>
              </w:rPr>
              <w:t>,</w:t>
            </w:r>
            <w:r w:rsidR="00297486">
              <w:rPr>
                <w:rFonts w:ascii="Times New Roman" w:hAnsi="Times New Roman" w:cs="Times New Roman"/>
                <w:sz w:val="24"/>
                <w:szCs w:val="24"/>
              </w:rPr>
              <w:t xml:space="preserve"> </w:t>
            </w:r>
            <w:r w:rsidR="00D26221">
              <w:rPr>
                <w:rFonts w:ascii="Times New Roman" w:hAnsi="Times New Roman" w:cs="Times New Roman"/>
                <w:sz w:val="24"/>
                <w:szCs w:val="24"/>
              </w:rPr>
              <w:t>or close to</w:t>
            </w:r>
            <w:r>
              <w:rPr>
                <w:rFonts w:ascii="Times New Roman" w:hAnsi="Times New Roman" w:cs="Times New Roman"/>
                <w:sz w:val="24"/>
                <w:szCs w:val="24"/>
              </w:rPr>
              <w:t>,</w:t>
            </w:r>
            <w:r w:rsidR="00D26221">
              <w:rPr>
                <w:rFonts w:ascii="Times New Roman" w:hAnsi="Times New Roman" w:cs="Times New Roman"/>
                <w:sz w:val="24"/>
                <w:szCs w:val="24"/>
              </w:rPr>
              <w:t xml:space="preserve"> </w:t>
            </w:r>
            <w:r w:rsidR="00297486">
              <w:rPr>
                <w:rFonts w:ascii="Times New Roman" w:hAnsi="Times New Roman" w:cs="Times New Roman"/>
                <w:sz w:val="24"/>
                <w:szCs w:val="24"/>
              </w:rPr>
              <w:t xml:space="preserve">the implementation </w:t>
            </w:r>
            <w:r w:rsidR="004B332D">
              <w:rPr>
                <w:rFonts w:ascii="Times New Roman" w:hAnsi="Times New Roman" w:cs="Times New Roman"/>
                <w:sz w:val="24"/>
                <w:szCs w:val="24"/>
              </w:rPr>
              <w:t>stages of deployment</w:t>
            </w:r>
            <w:r w:rsidR="00297486">
              <w:rPr>
                <w:rFonts w:ascii="Times New Roman" w:hAnsi="Times New Roman" w:cs="Times New Roman"/>
                <w:sz w:val="24"/>
                <w:szCs w:val="24"/>
              </w:rPr>
              <w:t xml:space="preserve">.   </w:t>
            </w:r>
          </w:p>
          <w:p w14:paraId="05AAD306" w14:textId="77777777" w:rsidR="00297486" w:rsidRDefault="00297486" w:rsidP="00A031FC">
            <w:pPr>
              <w:rPr>
                <w:rFonts w:ascii="Times New Roman" w:hAnsi="Times New Roman" w:cs="Times New Roman"/>
                <w:sz w:val="24"/>
                <w:szCs w:val="24"/>
              </w:rPr>
            </w:pPr>
          </w:p>
          <w:p w14:paraId="7E2A3939" w14:textId="77B46413" w:rsidR="00A031FC" w:rsidRDefault="00170AAB" w:rsidP="00A031FC">
            <w:pPr>
              <w:rPr>
                <w:rFonts w:ascii="Times New Roman" w:hAnsi="Times New Roman" w:cs="Times New Roman"/>
                <w:sz w:val="24"/>
                <w:szCs w:val="24"/>
              </w:rPr>
            </w:pPr>
            <w:r w:rsidRPr="00EC604A">
              <w:rPr>
                <w:rFonts w:ascii="Times New Roman" w:hAnsi="Times New Roman" w:cs="Times New Roman"/>
                <w:sz w:val="24"/>
                <w:szCs w:val="24"/>
              </w:rPr>
              <w:t>It is encouraged that applying companies clearly de</w:t>
            </w:r>
            <w:r w:rsidR="00622FC7">
              <w:rPr>
                <w:rFonts w:ascii="Times New Roman" w:hAnsi="Times New Roman" w:cs="Times New Roman"/>
                <w:sz w:val="24"/>
                <w:szCs w:val="24"/>
              </w:rPr>
              <w:t>scribe how solving their problem will positively impact the competiveness, growth or profitability of the company</w:t>
            </w:r>
            <w:r w:rsidRPr="00EC604A">
              <w:rPr>
                <w:rFonts w:ascii="Times New Roman" w:hAnsi="Times New Roman" w:cs="Times New Roman"/>
                <w:sz w:val="24"/>
                <w:szCs w:val="24"/>
              </w:rPr>
              <w:t>.</w:t>
            </w:r>
          </w:p>
          <w:p w14:paraId="34E22888" w14:textId="3EDACDE4" w:rsidR="0000381F" w:rsidRPr="00EC604A" w:rsidRDefault="0000381F" w:rsidP="004B332D">
            <w:pPr>
              <w:spacing w:after="120"/>
              <w:rPr>
                <w:rFonts w:ascii="Times New Roman" w:hAnsi="Times New Roman" w:cs="Times New Roman"/>
                <w:sz w:val="24"/>
                <w:szCs w:val="24"/>
              </w:rPr>
            </w:pPr>
          </w:p>
        </w:tc>
      </w:tr>
      <w:tr w:rsidR="006E7898" w:rsidRPr="00EC604A" w14:paraId="1F1A29F6" w14:textId="77777777" w:rsidTr="009A0780">
        <w:tc>
          <w:tcPr>
            <w:tcW w:w="1696" w:type="dxa"/>
          </w:tcPr>
          <w:p w14:paraId="3AB091CD" w14:textId="77777777" w:rsidR="006E7898" w:rsidRPr="00EC604A" w:rsidRDefault="006E7898">
            <w:pPr>
              <w:rPr>
                <w:rFonts w:ascii="Times New Roman" w:hAnsi="Times New Roman" w:cs="Times New Roman"/>
                <w:sz w:val="24"/>
                <w:szCs w:val="24"/>
              </w:rPr>
            </w:pPr>
          </w:p>
          <w:p w14:paraId="22D62DC8" w14:textId="77777777" w:rsidR="006E7898" w:rsidRPr="00EC604A" w:rsidRDefault="006E7898">
            <w:pPr>
              <w:rPr>
                <w:rFonts w:ascii="Times New Roman" w:hAnsi="Times New Roman" w:cs="Times New Roman"/>
                <w:sz w:val="24"/>
                <w:szCs w:val="24"/>
              </w:rPr>
            </w:pPr>
            <w:r w:rsidRPr="00EC604A">
              <w:rPr>
                <w:rFonts w:ascii="Times New Roman" w:hAnsi="Times New Roman" w:cs="Times New Roman"/>
                <w:sz w:val="24"/>
                <w:szCs w:val="24"/>
              </w:rPr>
              <w:t>Application process</w:t>
            </w:r>
          </w:p>
        </w:tc>
        <w:tc>
          <w:tcPr>
            <w:tcW w:w="7320" w:type="dxa"/>
          </w:tcPr>
          <w:p w14:paraId="0DA71000" w14:textId="77777777" w:rsidR="006E7898" w:rsidRPr="00EC604A" w:rsidRDefault="006E7898" w:rsidP="006E7898">
            <w:pPr>
              <w:rPr>
                <w:rFonts w:ascii="Times New Roman" w:hAnsi="Times New Roman" w:cs="Times New Roman"/>
                <w:sz w:val="24"/>
                <w:szCs w:val="24"/>
              </w:rPr>
            </w:pPr>
          </w:p>
          <w:p w14:paraId="5D1D8845" w14:textId="77777777" w:rsidR="006E7898" w:rsidRPr="00EC604A" w:rsidRDefault="006E7898" w:rsidP="006E7898">
            <w:pPr>
              <w:rPr>
                <w:rFonts w:ascii="Times New Roman" w:hAnsi="Times New Roman" w:cs="Times New Roman"/>
                <w:sz w:val="24"/>
                <w:szCs w:val="24"/>
              </w:rPr>
            </w:pPr>
            <w:r w:rsidRPr="00EC604A">
              <w:rPr>
                <w:rFonts w:ascii="Times New Roman" w:hAnsi="Times New Roman" w:cs="Times New Roman"/>
                <w:sz w:val="24"/>
                <w:szCs w:val="24"/>
              </w:rPr>
              <w:t>The initial application process requires companies to submit a concise (approx. 500 words) ‘Challenge Statement’ describing their problem. Companies are not required to describe the project they want to do; instead they will need to describe the problem: its nature, any techniques already tried and the value of solving it.</w:t>
            </w:r>
          </w:p>
          <w:p w14:paraId="5101A8B7" w14:textId="77777777" w:rsidR="006E7898" w:rsidRPr="00EC604A" w:rsidRDefault="006E7898" w:rsidP="006E7898">
            <w:pPr>
              <w:rPr>
                <w:rFonts w:ascii="Times New Roman" w:hAnsi="Times New Roman" w:cs="Times New Roman"/>
                <w:sz w:val="24"/>
                <w:szCs w:val="24"/>
              </w:rPr>
            </w:pPr>
            <w:r w:rsidRPr="00EC604A">
              <w:rPr>
                <w:rFonts w:ascii="Times New Roman" w:hAnsi="Times New Roman" w:cs="Times New Roman"/>
                <w:sz w:val="24"/>
                <w:szCs w:val="24"/>
              </w:rPr>
              <w:t>If approved, companies will work together with STFC scientists to develop a fully costed project proposal. Projects will be selected on the greatest impact to productivity, the value to the company and the availability of a suitable technique or expertise within STFC to address the problem.</w:t>
            </w:r>
          </w:p>
          <w:p w14:paraId="47B252AA" w14:textId="77777777" w:rsidR="006E7898" w:rsidRPr="00EC604A" w:rsidRDefault="006E7898" w:rsidP="006E7898">
            <w:pPr>
              <w:rPr>
                <w:rFonts w:ascii="Times New Roman" w:hAnsi="Times New Roman" w:cs="Times New Roman"/>
                <w:sz w:val="24"/>
                <w:szCs w:val="24"/>
              </w:rPr>
            </w:pPr>
          </w:p>
        </w:tc>
      </w:tr>
      <w:tr w:rsidR="00A031FC" w:rsidRPr="00EC604A" w14:paraId="0E4915AD" w14:textId="77777777" w:rsidTr="009A0780">
        <w:tc>
          <w:tcPr>
            <w:tcW w:w="1696" w:type="dxa"/>
          </w:tcPr>
          <w:p w14:paraId="49C892EA" w14:textId="77777777" w:rsidR="00170AAB" w:rsidRPr="00EC604A" w:rsidRDefault="00170AAB">
            <w:pPr>
              <w:rPr>
                <w:rFonts w:ascii="Times New Roman" w:hAnsi="Times New Roman" w:cs="Times New Roman"/>
                <w:sz w:val="24"/>
                <w:szCs w:val="24"/>
              </w:rPr>
            </w:pPr>
          </w:p>
          <w:p w14:paraId="2EB8FEF7" w14:textId="77777777" w:rsidR="00A031FC" w:rsidRPr="00EC604A" w:rsidRDefault="00A031FC">
            <w:pPr>
              <w:rPr>
                <w:rFonts w:ascii="Times New Roman" w:hAnsi="Times New Roman" w:cs="Times New Roman"/>
                <w:sz w:val="24"/>
                <w:szCs w:val="24"/>
              </w:rPr>
            </w:pPr>
            <w:r w:rsidRPr="00EC604A">
              <w:rPr>
                <w:rFonts w:ascii="Times New Roman" w:hAnsi="Times New Roman" w:cs="Times New Roman"/>
                <w:sz w:val="24"/>
                <w:szCs w:val="24"/>
              </w:rPr>
              <w:t>Selection criteria</w:t>
            </w:r>
          </w:p>
        </w:tc>
        <w:tc>
          <w:tcPr>
            <w:tcW w:w="7320" w:type="dxa"/>
          </w:tcPr>
          <w:p w14:paraId="0A1A090C" w14:textId="77777777" w:rsidR="00170AAB" w:rsidRPr="00EC604A" w:rsidRDefault="00170AAB" w:rsidP="006E7898">
            <w:pPr>
              <w:rPr>
                <w:rFonts w:ascii="Times New Roman" w:hAnsi="Times New Roman" w:cs="Times New Roman"/>
                <w:sz w:val="24"/>
                <w:szCs w:val="24"/>
              </w:rPr>
            </w:pPr>
          </w:p>
          <w:p w14:paraId="23D9D77F" w14:textId="77777777" w:rsidR="00A031FC" w:rsidRPr="00EC604A" w:rsidRDefault="00A031FC" w:rsidP="006E7898">
            <w:pPr>
              <w:rPr>
                <w:rFonts w:ascii="Times New Roman" w:hAnsi="Times New Roman" w:cs="Times New Roman"/>
                <w:i/>
                <w:sz w:val="24"/>
                <w:szCs w:val="24"/>
              </w:rPr>
            </w:pPr>
            <w:r w:rsidRPr="00EC604A">
              <w:rPr>
                <w:rFonts w:ascii="Times New Roman" w:hAnsi="Times New Roman" w:cs="Times New Roman"/>
                <w:sz w:val="24"/>
                <w:szCs w:val="24"/>
              </w:rPr>
              <w:t>Projects are selected on basis of greatest</w:t>
            </w:r>
            <w:r w:rsidR="00170AAB" w:rsidRPr="00EC604A">
              <w:rPr>
                <w:rFonts w:ascii="Times New Roman" w:hAnsi="Times New Roman" w:cs="Times New Roman"/>
                <w:sz w:val="24"/>
                <w:szCs w:val="24"/>
              </w:rPr>
              <w:t xml:space="preserve"> impact to productivity and the availability of a suitable technique or expertise within STFC to address the problem. More details of the selection criteria is provided in </w:t>
            </w:r>
            <w:r w:rsidR="00170AAB" w:rsidRPr="00EC604A">
              <w:rPr>
                <w:rFonts w:ascii="Times New Roman" w:hAnsi="Times New Roman" w:cs="Times New Roman"/>
                <w:i/>
                <w:sz w:val="24"/>
                <w:szCs w:val="24"/>
              </w:rPr>
              <w:t>Framework for assessment of B4I project applications.</w:t>
            </w:r>
          </w:p>
          <w:p w14:paraId="772CD735" w14:textId="77777777" w:rsidR="00170AAB" w:rsidRPr="00EC604A" w:rsidRDefault="00170AAB" w:rsidP="006E7898">
            <w:pPr>
              <w:rPr>
                <w:rFonts w:ascii="Times New Roman" w:hAnsi="Times New Roman" w:cs="Times New Roman"/>
                <w:sz w:val="24"/>
                <w:szCs w:val="24"/>
              </w:rPr>
            </w:pPr>
          </w:p>
        </w:tc>
      </w:tr>
      <w:tr w:rsidR="00EE0A7E" w:rsidRPr="00EC604A" w14:paraId="53A2287B" w14:textId="77777777" w:rsidTr="009A0780">
        <w:tc>
          <w:tcPr>
            <w:tcW w:w="1696" w:type="dxa"/>
          </w:tcPr>
          <w:p w14:paraId="24D1466C" w14:textId="77777777" w:rsidR="006E7898" w:rsidRPr="00EC604A" w:rsidRDefault="006E7898">
            <w:pPr>
              <w:rPr>
                <w:rFonts w:ascii="Times New Roman" w:hAnsi="Times New Roman" w:cs="Times New Roman"/>
                <w:sz w:val="24"/>
                <w:szCs w:val="24"/>
              </w:rPr>
            </w:pPr>
          </w:p>
          <w:p w14:paraId="0B875609" w14:textId="77777777" w:rsidR="00EE0A7E" w:rsidRPr="00EC604A" w:rsidRDefault="009A0780">
            <w:pPr>
              <w:rPr>
                <w:rFonts w:ascii="Times New Roman" w:hAnsi="Times New Roman" w:cs="Times New Roman"/>
                <w:sz w:val="24"/>
                <w:szCs w:val="24"/>
              </w:rPr>
            </w:pPr>
            <w:r w:rsidRPr="00EC604A">
              <w:rPr>
                <w:rFonts w:ascii="Times New Roman" w:hAnsi="Times New Roman" w:cs="Times New Roman"/>
                <w:sz w:val="24"/>
                <w:szCs w:val="24"/>
              </w:rPr>
              <w:t>Dates</w:t>
            </w:r>
          </w:p>
          <w:p w14:paraId="61FC3E9B" w14:textId="77777777" w:rsidR="006E7898" w:rsidRPr="00EC604A" w:rsidRDefault="006E7898">
            <w:pPr>
              <w:rPr>
                <w:rFonts w:ascii="Times New Roman" w:hAnsi="Times New Roman" w:cs="Times New Roman"/>
                <w:sz w:val="24"/>
                <w:szCs w:val="24"/>
              </w:rPr>
            </w:pPr>
          </w:p>
        </w:tc>
        <w:tc>
          <w:tcPr>
            <w:tcW w:w="7320" w:type="dxa"/>
          </w:tcPr>
          <w:p w14:paraId="24FAA803" w14:textId="77777777" w:rsidR="006E7898" w:rsidRPr="00EC604A" w:rsidRDefault="006E7898">
            <w:pPr>
              <w:rPr>
                <w:rFonts w:ascii="Times New Roman" w:hAnsi="Times New Roman" w:cs="Times New Roman"/>
                <w:sz w:val="24"/>
                <w:szCs w:val="24"/>
              </w:rPr>
            </w:pPr>
          </w:p>
          <w:p w14:paraId="3F0C3D8D" w14:textId="77777777" w:rsidR="00EE0A7E" w:rsidRPr="00EC604A" w:rsidRDefault="009A0780">
            <w:pPr>
              <w:rPr>
                <w:rFonts w:ascii="Times New Roman" w:hAnsi="Times New Roman" w:cs="Times New Roman"/>
                <w:sz w:val="24"/>
                <w:szCs w:val="24"/>
              </w:rPr>
            </w:pPr>
            <w:r w:rsidRPr="00EC604A">
              <w:rPr>
                <w:rFonts w:ascii="Times New Roman" w:hAnsi="Times New Roman" w:cs="Times New Roman"/>
                <w:sz w:val="24"/>
                <w:szCs w:val="24"/>
              </w:rPr>
              <w:t>The competition will run from 2017 to April 2021</w:t>
            </w:r>
            <w:r w:rsidR="006E7898" w:rsidRPr="00EC604A">
              <w:rPr>
                <w:rFonts w:ascii="Times New Roman" w:hAnsi="Times New Roman" w:cs="Times New Roman"/>
                <w:sz w:val="24"/>
                <w:szCs w:val="24"/>
              </w:rPr>
              <w:t>.</w:t>
            </w:r>
          </w:p>
        </w:tc>
      </w:tr>
    </w:tbl>
    <w:p w14:paraId="0EF7E3DC" w14:textId="14406C76" w:rsidR="00EE0A7E" w:rsidRDefault="00EE0A7E">
      <w:pPr>
        <w:rPr>
          <w:rFonts w:ascii="Times New Roman" w:hAnsi="Times New Roman" w:cs="Times New Roman"/>
        </w:rPr>
      </w:pPr>
    </w:p>
    <w:p w14:paraId="20E73433" w14:textId="77777777" w:rsidR="004B332D" w:rsidRDefault="004B332D">
      <w:pPr>
        <w:rPr>
          <w:rFonts w:ascii="Times New Roman" w:hAnsi="Times New Roman" w:cs="Times New Roman"/>
        </w:rPr>
      </w:pPr>
    </w:p>
    <w:p w14:paraId="4C77C0FD" w14:textId="7854553C" w:rsidR="004B332D" w:rsidRDefault="004B332D">
      <w:pPr>
        <w:rPr>
          <w:rFonts w:ascii="Times New Roman" w:hAnsi="Times New Roman" w:cs="Times New Roman"/>
        </w:rPr>
      </w:pPr>
    </w:p>
    <w:sectPr w:rsidR="004B33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25467"/>
    <w:multiLevelType w:val="hybridMultilevel"/>
    <w:tmpl w:val="91F86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65284B"/>
    <w:multiLevelType w:val="hybridMultilevel"/>
    <w:tmpl w:val="F2B47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621872"/>
    <w:multiLevelType w:val="hybridMultilevel"/>
    <w:tmpl w:val="FCAE3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7E"/>
    <w:rsid w:val="0000381F"/>
    <w:rsid w:val="00092CFD"/>
    <w:rsid w:val="000A2483"/>
    <w:rsid w:val="00170AAB"/>
    <w:rsid w:val="001B2503"/>
    <w:rsid w:val="00297486"/>
    <w:rsid w:val="002A1CBD"/>
    <w:rsid w:val="003F3FDE"/>
    <w:rsid w:val="004B332D"/>
    <w:rsid w:val="004C4F79"/>
    <w:rsid w:val="005A0155"/>
    <w:rsid w:val="005D006E"/>
    <w:rsid w:val="00622FC7"/>
    <w:rsid w:val="006A7AB8"/>
    <w:rsid w:val="006E7898"/>
    <w:rsid w:val="00826F4B"/>
    <w:rsid w:val="008413E8"/>
    <w:rsid w:val="009A0780"/>
    <w:rsid w:val="00A031FC"/>
    <w:rsid w:val="00A12B55"/>
    <w:rsid w:val="00A254E7"/>
    <w:rsid w:val="00A76432"/>
    <w:rsid w:val="00CD0533"/>
    <w:rsid w:val="00D16DF9"/>
    <w:rsid w:val="00D26221"/>
    <w:rsid w:val="00D94E70"/>
    <w:rsid w:val="00DF033B"/>
    <w:rsid w:val="00E115B3"/>
    <w:rsid w:val="00E52AAA"/>
    <w:rsid w:val="00EB43FD"/>
    <w:rsid w:val="00EC604A"/>
    <w:rsid w:val="00EE0A7E"/>
    <w:rsid w:val="00F869B4"/>
    <w:rsid w:val="00FA4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F1BF7"/>
  <w15:chartTrackingRefBased/>
  <w15:docId w15:val="{BEE30879-F133-490B-871D-27FEE991A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0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0780"/>
    <w:pPr>
      <w:ind w:left="720"/>
      <w:contextualSpacing/>
    </w:pPr>
  </w:style>
  <w:style w:type="character" w:styleId="Hyperlink">
    <w:name w:val="Hyperlink"/>
    <w:basedOn w:val="DefaultParagraphFont"/>
    <w:uiPriority w:val="99"/>
    <w:unhideWhenUsed/>
    <w:rsid w:val="00D26221"/>
    <w:rPr>
      <w:color w:val="0563C1" w:themeColor="hyperlink"/>
      <w:u w:val="single"/>
    </w:rPr>
  </w:style>
  <w:style w:type="character" w:styleId="HTMLCite">
    <w:name w:val="HTML Cite"/>
    <w:basedOn w:val="DefaultParagraphFont"/>
    <w:uiPriority w:val="99"/>
    <w:semiHidden/>
    <w:unhideWhenUsed/>
    <w:rsid w:val="00D262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023608">
      <w:bodyDiv w:val="1"/>
      <w:marLeft w:val="0"/>
      <w:marRight w:val="0"/>
      <w:marTop w:val="0"/>
      <w:marBottom w:val="0"/>
      <w:divBdr>
        <w:top w:val="none" w:sz="0" w:space="0" w:color="auto"/>
        <w:left w:val="none" w:sz="0" w:space="0" w:color="auto"/>
        <w:bottom w:val="none" w:sz="0" w:space="0" w:color="auto"/>
        <w:right w:val="none" w:sz="0" w:space="0" w:color="auto"/>
      </w:divBdr>
      <w:divsChild>
        <w:div w:id="176620814">
          <w:marLeft w:val="-75"/>
          <w:marRight w:val="-75"/>
          <w:marTop w:val="0"/>
          <w:marBottom w:val="0"/>
          <w:divBdr>
            <w:top w:val="none" w:sz="0" w:space="0" w:color="auto"/>
            <w:left w:val="none" w:sz="0" w:space="0" w:color="auto"/>
            <w:bottom w:val="none" w:sz="0" w:space="0" w:color="auto"/>
            <w:right w:val="none" w:sz="0" w:space="0" w:color="auto"/>
          </w:divBdr>
          <w:divsChild>
            <w:div w:id="2055227567">
              <w:marLeft w:val="0"/>
              <w:marRight w:val="0"/>
              <w:marTop w:val="0"/>
              <w:marBottom w:val="225"/>
              <w:divBdr>
                <w:top w:val="none" w:sz="0" w:space="0" w:color="auto"/>
                <w:left w:val="none" w:sz="0" w:space="0" w:color="auto"/>
                <w:bottom w:val="none" w:sz="0" w:space="0" w:color="auto"/>
                <w:right w:val="none" w:sz="0" w:space="0" w:color="auto"/>
              </w:divBdr>
              <w:divsChild>
                <w:div w:id="239758753">
                  <w:marLeft w:val="0"/>
                  <w:marRight w:val="0"/>
                  <w:marTop w:val="0"/>
                  <w:marBottom w:val="0"/>
                  <w:divBdr>
                    <w:top w:val="none" w:sz="0" w:space="0" w:color="auto"/>
                    <w:left w:val="none" w:sz="0" w:space="0" w:color="auto"/>
                    <w:bottom w:val="none" w:sz="0" w:space="0" w:color="auto"/>
                    <w:right w:val="none" w:sz="0" w:space="0" w:color="auto"/>
                  </w:divBdr>
                  <w:divsChild>
                    <w:div w:id="249239143">
                      <w:marLeft w:val="0"/>
                      <w:marRight w:val="0"/>
                      <w:marTop w:val="0"/>
                      <w:marBottom w:val="0"/>
                      <w:divBdr>
                        <w:top w:val="none" w:sz="0" w:space="0" w:color="auto"/>
                        <w:left w:val="none" w:sz="0" w:space="0" w:color="auto"/>
                        <w:bottom w:val="none" w:sz="0" w:space="0" w:color="auto"/>
                        <w:right w:val="none" w:sz="0" w:space="0" w:color="auto"/>
                      </w:divBdr>
                    </w:div>
                  </w:divsChild>
                </w:div>
                <w:div w:id="786702074">
                  <w:marLeft w:val="0"/>
                  <w:marRight w:val="0"/>
                  <w:marTop w:val="0"/>
                  <w:marBottom w:val="0"/>
                  <w:divBdr>
                    <w:top w:val="none" w:sz="0" w:space="0" w:color="auto"/>
                    <w:left w:val="none" w:sz="0" w:space="0" w:color="auto"/>
                    <w:bottom w:val="none" w:sz="0" w:space="0" w:color="auto"/>
                    <w:right w:val="none" w:sz="0" w:space="0" w:color="auto"/>
                  </w:divBdr>
                  <w:divsChild>
                    <w:div w:id="722750770">
                      <w:marLeft w:val="0"/>
                      <w:marRight w:val="0"/>
                      <w:marTop w:val="0"/>
                      <w:marBottom w:val="0"/>
                      <w:divBdr>
                        <w:top w:val="none" w:sz="0" w:space="0" w:color="auto"/>
                        <w:left w:val="none" w:sz="0" w:space="0" w:color="auto"/>
                        <w:bottom w:val="none" w:sz="0" w:space="0" w:color="auto"/>
                        <w:right w:val="none" w:sz="0" w:space="0" w:color="auto"/>
                      </w:divBdr>
                      <w:divsChild>
                        <w:div w:id="1456145496">
                          <w:marLeft w:val="0"/>
                          <w:marRight w:val="0"/>
                          <w:marTop w:val="0"/>
                          <w:marBottom w:val="0"/>
                          <w:divBdr>
                            <w:top w:val="none" w:sz="0" w:space="0" w:color="auto"/>
                            <w:left w:val="none" w:sz="0" w:space="0" w:color="auto"/>
                            <w:bottom w:val="none" w:sz="0" w:space="0" w:color="auto"/>
                            <w:right w:val="none" w:sz="0" w:space="0" w:color="auto"/>
                          </w:divBdr>
                        </w:div>
                      </w:divsChild>
                    </w:div>
                    <w:div w:id="3375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98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FA6AA1B3406B4BB433B0D733AE9AD5" ma:contentTypeVersion="2" ma:contentTypeDescription="Create a new document." ma:contentTypeScope="" ma:versionID="fccad669c1fee6b68a23f371723e0025">
  <xsd:schema xmlns:xsd="http://www.w3.org/2001/XMLSchema" xmlns:xs="http://www.w3.org/2001/XMLSchema" xmlns:p="http://schemas.microsoft.com/office/2006/metadata/properties" xmlns:ns2="92487220-47ab-4c55-ad66-4c85ef574f2d" targetNamespace="http://schemas.microsoft.com/office/2006/metadata/properties" ma:root="true" ma:fieldsID="fca55fbaeb74c64fa5a6673b778e84a5" ns2:_="">
    <xsd:import namespace="92487220-47ab-4c55-ad66-4c85ef574f2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87220-47ab-4c55-ad66-4c85ef574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F7EED-9F42-4469-AB51-63110AC1D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87220-47ab-4c55-ad66-4c85ef574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C3BA82-9D57-4F15-9DBD-384216D610CB}">
  <ds:schemaRefs>
    <ds:schemaRef ds:uri="http://schemas.microsoft.com/sharepoint/v3/contenttype/forms"/>
  </ds:schemaRefs>
</ds:datastoreItem>
</file>

<file path=customXml/itemProps3.xml><?xml version="1.0" encoding="utf-8"?>
<ds:datastoreItem xmlns:ds="http://schemas.openxmlformats.org/officeDocument/2006/customXml" ds:itemID="{AA2B7C05-5159-4D14-A622-1C47909B4B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2EB705-EAEA-422D-AA3E-C96759D13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D8BE4EBD</Template>
  <TotalTime>1</TotalTime>
  <Pages>3</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David (STFC,DL,HC)</dc:creator>
  <cp:keywords/>
  <dc:description/>
  <cp:lastModifiedBy>Leon Wechie</cp:lastModifiedBy>
  <cp:revision>2</cp:revision>
  <dcterms:created xsi:type="dcterms:W3CDTF">2018-10-30T12:11:00Z</dcterms:created>
  <dcterms:modified xsi:type="dcterms:W3CDTF">2018-10-30T12:11:00Z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0x010100EDFA6AA1B3406B4BB433B0D733AE9AD5</vt:lpwstr>
  </property>
</Properties>
</file>